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1486EA8D" w:rsidR="002416E6" w:rsidRPr="00641808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r>
        <w:rPr>
          <w:rFonts w:ascii="Arial" w:hAnsi="Arial"/>
          <w:b/>
          <w:bCs/>
        </w:rPr>
        <w:t>към финансов отчет 3</w:t>
      </w:r>
      <w:r w:rsidR="001C41EB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.</w:t>
      </w:r>
      <w:r w:rsidR="001C41EB">
        <w:rPr>
          <w:rFonts w:ascii="Arial" w:hAnsi="Arial"/>
          <w:b/>
          <w:bCs/>
        </w:rPr>
        <w:t>12</w:t>
      </w:r>
      <w:r>
        <w:rPr>
          <w:rFonts w:ascii="Arial" w:hAnsi="Arial"/>
          <w:b/>
          <w:bCs/>
        </w:rPr>
        <w:t>.202</w:t>
      </w:r>
      <w:r w:rsidR="00915D63">
        <w:rPr>
          <w:rFonts w:ascii="Arial" w:hAnsi="Arial"/>
          <w:b/>
          <w:bCs/>
          <w:lang w:val="bg-BG"/>
        </w:rPr>
        <w:t>4</w:t>
      </w:r>
      <w:r>
        <w:rPr>
          <w:rFonts w:ascii="Arial" w:hAnsi="Arial"/>
          <w:b/>
          <w:bCs/>
        </w:rPr>
        <w:t xml:space="preserve"> г.</w:t>
      </w:r>
      <w:r w:rsidR="001C41EB">
        <w:rPr>
          <w:rFonts w:ascii="Arial" w:hAnsi="Arial"/>
          <w:b/>
          <w:bCs/>
        </w:rPr>
        <w:t xml:space="preserve"> – </w:t>
      </w:r>
      <w:r w:rsidR="001C41EB">
        <w:rPr>
          <w:rFonts w:ascii="Arial" w:hAnsi="Arial"/>
          <w:b/>
          <w:bCs/>
          <w:lang w:val="bg-BG"/>
        </w:rPr>
        <w:t>предварителен</w:t>
      </w:r>
      <w:r w:rsidR="00641808">
        <w:rPr>
          <w:rFonts w:ascii="Arial" w:hAnsi="Arial"/>
          <w:b/>
          <w:bCs/>
          <w:lang w:val="bg-BG"/>
        </w:rPr>
        <w:t xml:space="preserve"> 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08357D44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915D63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няма промяна в размера на собствения капитал на </w:t>
      </w:r>
      <w:r w:rsidRPr="001501B7">
        <w:rPr>
          <w:sz w:val="24"/>
          <w:szCs w:val="24"/>
        </w:rP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5E28A3A3" w:rsidR="002416E6" w:rsidRPr="00E61DBE" w:rsidRDefault="00466C96" w:rsidP="00C20BD9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915D63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1C41EB">
        <w:rPr>
          <w:sz w:val="24"/>
          <w:szCs w:val="24"/>
          <w:lang w:val="bg-BG"/>
        </w:rPr>
        <w:t xml:space="preserve"> - предварителен</w:t>
      </w:r>
      <w:r w:rsidR="00915D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е </w:t>
      </w:r>
      <w:r w:rsidRPr="00BB175D">
        <w:rPr>
          <w:color w:val="auto"/>
          <w:sz w:val="24"/>
          <w:szCs w:val="24"/>
        </w:rPr>
        <w:t xml:space="preserve">отчело </w:t>
      </w:r>
      <w:r w:rsidR="00CF7BF5" w:rsidRPr="00BB175D">
        <w:rPr>
          <w:color w:val="auto"/>
          <w:sz w:val="24"/>
          <w:szCs w:val="24"/>
          <w:u w:color="FF0000"/>
          <w:lang w:val="bg-BG"/>
        </w:rPr>
        <w:t>загуба</w:t>
      </w:r>
      <w:r w:rsidR="00A8217E" w:rsidRPr="00BB175D">
        <w:rPr>
          <w:color w:val="auto"/>
          <w:sz w:val="24"/>
          <w:szCs w:val="24"/>
          <w:u w:color="FF0000"/>
          <w:lang w:val="en-US"/>
        </w:rPr>
        <w:t xml:space="preserve"> </w:t>
      </w:r>
      <w:r w:rsidR="00AF3ED4" w:rsidRPr="00BB175D">
        <w:rPr>
          <w:color w:val="auto"/>
          <w:sz w:val="24"/>
          <w:szCs w:val="24"/>
          <w:u w:color="FF0000"/>
          <w:lang w:val="bg-BG"/>
        </w:rPr>
        <w:t>в размер</w:t>
      </w:r>
      <w:r w:rsidR="00BB175D">
        <w:rPr>
          <w:color w:val="auto"/>
          <w:sz w:val="24"/>
          <w:szCs w:val="24"/>
          <w:u w:color="FF0000"/>
          <w:lang w:val="bg-BG"/>
        </w:rPr>
        <w:t xml:space="preserve"> 117</w:t>
      </w:r>
      <w:r w:rsidR="00AF3ED4" w:rsidRPr="00BB175D">
        <w:rPr>
          <w:color w:val="auto"/>
          <w:sz w:val="24"/>
          <w:szCs w:val="24"/>
          <w:u w:color="FF0000"/>
          <w:lang w:val="bg-BG"/>
        </w:rPr>
        <w:t xml:space="preserve"> </w:t>
      </w:r>
      <w:r w:rsidRPr="00BB175D">
        <w:rPr>
          <w:color w:val="auto"/>
          <w:sz w:val="24"/>
          <w:szCs w:val="24"/>
        </w:rPr>
        <w:t>х</w:t>
      </w:r>
      <w:proofErr w:type="spellStart"/>
      <w:r w:rsidR="00AF3ED4" w:rsidRPr="00BB175D">
        <w:rPr>
          <w:color w:val="auto"/>
          <w:sz w:val="24"/>
          <w:szCs w:val="24"/>
          <w:lang w:val="bg-BG"/>
        </w:rPr>
        <w:t>ил</w:t>
      </w:r>
      <w:proofErr w:type="spellEnd"/>
      <w:r w:rsidRPr="00BB175D">
        <w:rPr>
          <w:color w:val="auto"/>
          <w:sz w:val="24"/>
          <w:szCs w:val="24"/>
        </w:rPr>
        <w:t>. лв.</w:t>
      </w:r>
    </w:p>
    <w:p w14:paraId="770447F1" w14:textId="1A52C918" w:rsidR="002416E6" w:rsidRPr="00641808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915D63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1C41EB">
        <w:rPr>
          <w:sz w:val="24"/>
          <w:szCs w:val="24"/>
          <w:lang w:val="bg-BG"/>
        </w:rPr>
        <w:t xml:space="preserve"> – предварителен.</w:t>
      </w:r>
      <w:r w:rsidR="00641808">
        <w:rPr>
          <w:sz w:val="24"/>
          <w:szCs w:val="24"/>
          <w:lang w:val="bg-BG"/>
        </w:rPr>
        <w:t xml:space="preserve"> 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2A9509FB" w14:textId="1CB5B443" w:rsidR="002416E6" w:rsidRPr="00CB2D36" w:rsidRDefault="005017E7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</w:t>
      </w:r>
      <w:r w:rsidR="00A458FB">
        <w:rPr>
          <w:sz w:val="24"/>
          <w:szCs w:val="24"/>
          <w:lang w:val="bg-BG"/>
        </w:rPr>
        <w:t xml:space="preserve">ото </w:t>
      </w:r>
      <w:r w:rsidR="00D71926">
        <w:rPr>
          <w:sz w:val="24"/>
          <w:szCs w:val="24"/>
          <w:lang w:val="bg-BG"/>
        </w:rPr>
        <w:t>тримесечие</w:t>
      </w:r>
      <w:r w:rsidR="006D4B26">
        <w:rPr>
          <w:sz w:val="24"/>
          <w:szCs w:val="24"/>
          <w:lang w:val="bg-BG"/>
        </w:rPr>
        <w:t xml:space="preserve"> на 2024</w:t>
      </w:r>
      <w:r w:rsidR="00A458FB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</w:t>
      </w:r>
      <w:r w:rsidR="006D4B26">
        <w:rPr>
          <w:sz w:val="24"/>
          <w:szCs w:val="24"/>
          <w:lang w:val="bg-BG"/>
        </w:rPr>
        <w:t>ВРАЦА СТИЛ</w:t>
      </w:r>
      <w:r w:rsidR="00682A63">
        <w:rPr>
          <w:sz w:val="24"/>
          <w:szCs w:val="24"/>
          <w:lang w:val="bg-BG"/>
        </w:rPr>
        <w:t>“ АД</w:t>
      </w:r>
      <w:r w:rsidR="00420BC8">
        <w:rPr>
          <w:sz w:val="24"/>
          <w:szCs w:val="24"/>
          <w:lang w:val="bg-BG"/>
        </w:rPr>
        <w:t xml:space="preserve"> – гр</w:t>
      </w:r>
      <w:r w:rsidR="002D3FF6">
        <w:rPr>
          <w:sz w:val="24"/>
          <w:szCs w:val="24"/>
          <w:lang w:val="en-US"/>
        </w:rPr>
        <w:t>.</w:t>
      </w:r>
      <w:r w:rsidR="00420BC8">
        <w:rPr>
          <w:sz w:val="24"/>
          <w:szCs w:val="24"/>
          <w:lang w:val="bg-BG"/>
        </w:rPr>
        <w:t xml:space="preserve"> Враца</w:t>
      </w:r>
      <w:r w:rsidR="00CB2D36">
        <w:rPr>
          <w:sz w:val="24"/>
          <w:szCs w:val="24"/>
          <w:lang w:val="en-US"/>
        </w:rPr>
        <w:t xml:space="preserve"> – </w:t>
      </w:r>
      <w:r w:rsidR="00CB2D36">
        <w:rPr>
          <w:sz w:val="24"/>
          <w:szCs w:val="24"/>
          <w:lang w:val="bg-BG"/>
        </w:rPr>
        <w:t>асоциирано дружество.</w:t>
      </w:r>
    </w:p>
    <w:p w14:paraId="35298758" w14:textId="30B8EFA2" w:rsidR="00310B59" w:rsidRDefault="00420BC8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сделката</w:t>
      </w:r>
      <w:r w:rsidR="001A3659"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41CDF843" w14:textId="5D9F11ED" w:rsidR="00474CED" w:rsidRDefault="001C41EB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През четвър</w:t>
      </w:r>
      <w:r w:rsidR="004858AA">
        <w:rPr>
          <w:sz w:val="24"/>
          <w:szCs w:val="24"/>
          <w:lang w:val="bg-BG"/>
        </w:rPr>
        <w:t>т</w:t>
      </w:r>
      <w:r w:rsidR="00474CED">
        <w:rPr>
          <w:sz w:val="24"/>
          <w:szCs w:val="24"/>
          <w:lang w:val="bg-BG"/>
        </w:rPr>
        <w:t>ото тримесечие на 2024 г. ХД „ДУНАВ“ АД не е осъществявал сделки.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д) промяна в отношението между приходите и разходите</w:t>
      </w:r>
    </w:p>
    <w:p w14:paraId="4660123E" w14:textId="71B3A4DC" w:rsidR="002416E6" w:rsidRPr="00CF7BF5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6D4B26">
        <w:rPr>
          <w:sz w:val="24"/>
          <w:szCs w:val="24"/>
          <w:lang w:val="bg-BG"/>
        </w:rPr>
        <w:t>4</w:t>
      </w:r>
      <w:r w:rsidR="00466C96">
        <w:rPr>
          <w:sz w:val="24"/>
          <w:szCs w:val="24"/>
        </w:rPr>
        <w:t xml:space="preserve"> г. </w:t>
      </w:r>
      <w:r w:rsidR="001C41EB">
        <w:rPr>
          <w:sz w:val="24"/>
          <w:szCs w:val="24"/>
          <w:lang w:val="bg-BG"/>
        </w:rPr>
        <w:t xml:space="preserve"> – предварителен, </w:t>
      </w:r>
      <w:r w:rsidR="00466C96">
        <w:rPr>
          <w:sz w:val="24"/>
          <w:szCs w:val="24"/>
        </w:rPr>
        <w:t xml:space="preserve">съотношението на приходите към разходите </w:t>
      </w:r>
      <w:r w:rsidR="00466C96" w:rsidRPr="006E5E80">
        <w:rPr>
          <w:color w:val="auto"/>
          <w:sz w:val="24"/>
          <w:szCs w:val="24"/>
        </w:rPr>
        <w:t xml:space="preserve">е </w:t>
      </w:r>
      <w:r w:rsidR="00BB175D">
        <w:rPr>
          <w:color w:val="auto"/>
          <w:sz w:val="24"/>
          <w:szCs w:val="24"/>
          <w:lang w:val="bg-BG"/>
        </w:rPr>
        <w:t>0,06</w:t>
      </w:r>
      <w:r w:rsidR="003F1559" w:rsidRPr="00EE4A86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EE4A86">
        <w:rPr>
          <w:color w:val="auto"/>
          <w:sz w:val="24"/>
          <w:szCs w:val="24"/>
          <w:u w:color="FF0000"/>
          <w:lang w:val="bg-BG"/>
        </w:rPr>
        <w:t>%</w:t>
      </w:r>
      <w:r w:rsidR="00C24A0E" w:rsidRPr="00EE4A86">
        <w:rPr>
          <w:color w:val="auto"/>
          <w:sz w:val="24"/>
          <w:szCs w:val="24"/>
          <w:u w:color="FF0000"/>
          <w:lang w:val="bg-BG"/>
        </w:rPr>
        <w:t>,</w:t>
      </w:r>
      <w:r w:rsidR="00466C96" w:rsidRPr="00EE4A86">
        <w:rPr>
          <w:color w:val="auto"/>
          <w:sz w:val="24"/>
          <w:szCs w:val="24"/>
        </w:rPr>
        <w:t xml:space="preserve"> </w:t>
      </w:r>
      <w:r w:rsidR="00466C96" w:rsidRPr="006E5E80">
        <w:rPr>
          <w:color w:val="auto"/>
          <w:sz w:val="24"/>
          <w:szCs w:val="24"/>
        </w:rPr>
        <w:t xml:space="preserve">а за същия период на предходната година е било </w:t>
      </w:r>
      <w:r w:rsidR="00BB175D">
        <w:rPr>
          <w:color w:val="auto"/>
          <w:sz w:val="24"/>
          <w:szCs w:val="24"/>
          <w:lang w:val="bg-BG"/>
        </w:rPr>
        <w:t>0,67</w:t>
      </w:r>
      <w:r w:rsidR="00466C96" w:rsidRPr="006E5E80">
        <w:rPr>
          <w:color w:val="auto"/>
          <w:sz w:val="24"/>
          <w:szCs w:val="24"/>
          <w:u w:color="FF0000"/>
        </w:rPr>
        <w:t>%,</w:t>
      </w:r>
      <w:r w:rsidR="00466C96" w:rsidRPr="006E5E80">
        <w:rPr>
          <w:color w:val="auto"/>
          <w:sz w:val="24"/>
          <w:szCs w:val="24"/>
        </w:rPr>
        <w:t xml:space="preserve"> което показва, че отчетеното съотношение е довело до реализиране </w:t>
      </w:r>
      <w:r w:rsidR="00466C96" w:rsidRPr="00D4519C">
        <w:rPr>
          <w:color w:val="auto"/>
          <w:sz w:val="24"/>
          <w:szCs w:val="24"/>
        </w:rPr>
        <w:t xml:space="preserve">на </w:t>
      </w:r>
      <w:r w:rsidR="00CF7BF5" w:rsidRPr="00BB175D">
        <w:rPr>
          <w:color w:val="auto"/>
          <w:sz w:val="24"/>
          <w:szCs w:val="24"/>
          <w:lang w:val="bg-BG"/>
        </w:rPr>
        <w:t>загуба</w:t>
      </w:r>
      <w:r w:rsidR="00466C96" w:rsidRPr="00BB175D">
        <w:rPr>
          <w:color w:val="auto"/>
          <w:sz w:val="24"/>
          <w:szCs w:val="24"/>
        </w:rPr>
        <w:t xml:space="preserve"> </w:t>
      </w:r>
      <w:r w:rsidR="00C24A0E" w:rsidRPr="00BB175D">
        <w:rPr>
          <w:color w:val="auto"/>
          <w:sz w:val="24"/>
          <w:szCs w:val="24"/>
          <w:lang w:val="bg-BG"/>
        </w:rPr>
        <w:t xml:space="preserve">за </w:t>
      </w:r>
      <w:r w:rsidR="00466C96" w:rsidRPr="00BB175D">
        <w:rPr>
          <w:color w:val="auto"/>
          <w:sz w:val="24"/>
          <w:szCs w:val="24"/>
        </w:rPr>
        <w:t xml:space="preserve">отчетния период в размер </w:t>
      </w:r>
      <w:r w:rsidR="00466C96" w:rsidRPr="00BB175D">
        <w:rPr>
          <w:color w:val="auto"/>
          <w:sz w:val="24"/>
          <w:szCs w:val="24"/>
          <w:u w:color="FF0000"/>
        </w:rPr>
        <w:t xml:space="preserve">на </w:t>
      </w:r>
      <w:r w:rsidR="00BB175D">
        <w:rPr>
          <w:color w:val="auto"/>
          <w:sz w:val="24"/>
          <w:szCs w:val="24"/>
          <w:u w:color="FF0000"/>
          <w:lang w:val="bg-BG"/>
        </w:rPr>
        <w:t>117</w:t>
      </w:r>
      <w:bookmarkStart w:id="0" w:name="_GoBack"/>
      <w:bookmarkEnd w:id="0"/>
      <w:r w:rsidR="00E61DBE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 xml:space="preserve">х. лв., а за същия период на предходната година е отчетена </w:t>
      </w:r>
      <w:r w:rsidR="006D4B26" w:rsidRPr="00CF7BF5">
        <w:rPr>
          <w:color w:val="auto"/>
          <w:sz w:val="24"/>
          <w:szCs w:val="24"/>
          <w:lang w:val="bg-BG"/>
        </w:rPr>
        <w:t>загуба</w:t>
      </w:r>
      <w:r w:rsidR="00466C96" w:rsidRPr="00CF7BF5">
        <w:rPr>
          <w:color w:val="auto"/>
          <w:sz w:val="24"/>
          <w:szCs w:val="24"/>
          <w:u w:color="FF0000"/>
        </w:rPr>
        <w:t xml:space="preserve"> в размер на </w:t>
      </w:r>
      <w:r w:rsidR="007E2E42" w:rsidRPr="007E2E42">
        <w:rPr>
          <w:color w:val="auto"/>
          <w:sz w:val="24"/>
          <w:szCs w:val="24"/>
          <w:u w:color="FF0000"/>
          <w:lang w:val="bg-BG"/>
        </w:rPr>
        <w:t>107</w:t>
      </w:r>
      <w:r w:rsidR="00B3109D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>х. лв.</w:t>
      </w:r>
    </w:p>
    <w:p w14:paraId="6EA8AC43" w14:textId="7A2341FA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6D4B26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0450E30A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 xml:space="preserve"> - предварителен</w:t>
      </w:r>
      <w:r>
        <w:rPr>
          <w:b/>
          <w:bCs/>
          <w:i/>
          <w:iCs/>
          <w:sz w:val="24"/>
          <w:szCs w:val="24"/>
        </w:rPr>
        <w:t xml:space="preserve"> и влиянието им върху резултата във финансовия отчет. Настоящи тенденции, събития или рискове.</w:t>
      </w:r>
    </w:p>
    <w:p w14:paraId="5D219203" w14:textId="3DB6EED1" w:rsidR="002416E6" w:rsidRPr="001C41EB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6D4B26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1C41EB">
        <w:rPr>
          <w:sz w:val="24"/>
          <w:szCs w:val="24"/>
          <w:lang w:val="bg-BG"/>
        </w:rPr>
        <w:t xml:space="preserve"> – предварителен.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545AD52C" w:rsidR="002416E6" w:rsidRPr="00622FC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г.</w:t>
      </w:r>
      <w:r w:rsidR="00622FC6">
        <w:rPr>
          <w:b/>
          <w:bCs/>
          <w:i/>
          <w:iCs/>
          <w:sz w:val="24"/>
          <w:szCs w:val="24"/>
          <w:lang w:val="bg-BG"/>
        </w:rPr>
        <w:t xml:space="preserve"> </w:t>
      </w:r>
      <w:r w:rsidR="001C41EB">
        <w:rPr>
          <w:b/>
          <w:bCs/>
          <w:i/>
          <w:iCs/>
          <w:sz w:val="24"/>
          <w:szCs w:val="24"/>
          <w:lang w:val="bg-BG"/>
        </w:rPr>
        <w:t>– предварителен.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10E8849D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1C41EB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>.202</w:t>
      </w:r>
      <w:r w:rsidR="006D4B26">
        <w:rPr>
          <w:sz w:val="24"/>
          <w:szCs w:val="24"/>
          <w:lang w:val="bg-BG"/>
        </w:rPr>
        <w:t>4</w:t>
      </w:r>
      <w:r w:rsidR="008E1773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691FF542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ІV. Сключени сделки между свързани лица в периода 01.01.202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 w:rsidR="002D3FF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2D3FF6">
        <w:rPr>
          <w:b/>
          <w:bCs/>
          <w:i/>
          <w:iCs/>
          <w:sz w:val="24"/>
          <w:szCs w:val="24"/>
          <w:lang w:val="bg-BG"/>
        </w:rPr>
        <w:t>г.</w:t>
      </w:r>
      <w:r>
        <w:rPr>
          <w:b/>
          <w:bCs/>
          <w:i/>
          <w:iCs/>
          <w:sz w:val="24"/>
          <w:szCs w:val="24"/>
        </w:rPr>
        <w:t xml:space="preserve"> –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  <w:r w:rsidR="001C41EB">
        <w:rPr>
          <w:b/>
          <w:bCs/>
          <w:i/>
          <w:iCs/>
          <w:sz w:val="24"/>
          <w:szCs w:val="24"/>
          <w:lang w:val="bg-BG"/>
        </w:rPr>
        <w:t>- предварителен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3E190A10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V. Важни събития, настъпили след приключване на отчет –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>12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  <w:r w:rsidR="001C41EB">
        <w:rPr>
          <w:b/>
          <w:bCs/>
          <w:i/>
          <w:iCs/>
          <w:sz w:val="24"/>
          <w:szCs w:val="24"/>
          <w:lang w:val="bg-BG"/>
        </w:rPr>
        <w:t>– предварителен.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04EB17B0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„ДУНАВ“ АД оповестява изискваната  информация към финансов отчет – 3</w:t>
      </w:r>
      <w:r w:rsidR="001C41EB">
        <w:rPr>
          <w:rFonts w:ascii="Arial" w:hAnsi="Arial" w:cs="Arial"/>
          <w:lang w:val="bg-BG"/>
        </w:rPr>
        <w:t>1</w:t>
      </w:r>
      <w:r w:rsidR="00474CED">
        <w:rPr>
          <w:rFonts w:ascii="Arial" w:hAnsi="Arial" w:cs="Arial"/>
          <w:lang w:val="bg-BG"/>
        </w:rPr>
        <w:t>.</w:t>
      </w:r>
      <w:r w:rsidR="001C41EB">
        <w:rPr>
          <w:rFonts w:ascii="Arial" w:hAnsi="Arial" w:cs="Arial"/>
          <w:lang w:val="bg-BG"/>
        </w:rPr>
        <w:t>12</w:t>
      </w:r>
      <w:r w:rsidR="00953D5D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202</w:t>
      </w:r>
      <w:r w:rsidR="006D4B26">
        <w:rPr>
          <w:rFonts w:ascii="Arial" w:hAnsi="Arial" w:cs="Arial"/>
          <w:lang w:val="bg-BG"/>
        </w:rPr>
        <w:t>4</w:t>
      </w:r>
      <w:r w:rsidRPr="00CA0CA2">
        <w:rPr>
          <w:rFonts w:ascii="Arial" w:hAnsi="Arial" w:cs="Arial"/>
        </w:rPr>
        <w:t xml:space="preserve"> г</w:t>
      </w:r>
      <w:r w:rsidR="00CC4382">
        <w:rPr>
          <w:rFonts w:ascii="Arial" w:hAnsi="Arial" w:cs="Arial"/>
          <w:lang w:val="bg-BG"/>
        </w:rPr>
        <w:t>.</w:t>
      </w:r>
      <w:r w:rsidR="001C41EB">
        <w:rPr>
          <w:rFonts w:ascii="Arial" w:hAnsi="Arial" w:cs="Arial"/>
          <w:lang w:val="bg-BG"/>
        </w:rPr>
        <w:t xml:space="preserve"> - предварителен</w:t>
      </w:r>
      <w:r w:rsidRPr="00CA0CA2">
        <w:rPr>
          <w:rFonts w:ascii="Arial" w:hAnsi="Arial" w:cs="Arial"/>
        </w:rPr>
        <w:t>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73AC0F71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1. През отчетния период към 3</w:t>
      </w:r>
      <w:r w:rsidR="001C41EB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1C41EB">
        <w:rPr>
          <w:rFonts w:ascii="Arial" w:hAnsi="Arial" w:cs="Arial"/>
          <w:lang w:val="bg-BG"/>
        </w:rPr>
        <w:t>12</w:t>
      </w:r>
      <w:r w:rsidRPr="00CA0CA2">
        <w:rPr>
          <w:rFonts w:ascii="Arial" w:hAnsi="Arial" w:cs="Arial"/>
        </w:rPr>
        <w:t>.202</w:t>
      </w:r>
      <w:r w:rsidR="006D4B26">
        <w:rPr>
          <w:rFonts w:ascii="Arial" w:hAnsi="Arial" w:cs="Arial"/>
          <w:lang w:val="bg-BG"/>
        </w:rPr>
        <w:t>4</w:t>
      </w:r>
      <w:r w:rsidRPr="00CA0CA2">
        <w:rPr>
          <w:rFonts w:ascii="Arial" w:hAnsi="Arial" w:cs="Arial"/>
        </w:rPr>
        <w:t xml:space="preserve"> г.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4E2B7E9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2. На основание чл.4, т.1 „б“ и т. 2 от Регламент 2019/2088, ХД „Дунав“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24143BE3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„Дунав“ АД към 3</w:t>
      </w:r>
      <w:r w:rsidR="001C41EB">
        <w:rPr>
          <w:rFonts w:ascii="Arial" w:hAnsi="Arial" w:cs="Arial"/>
          <w:lang w:val="bg-BG"/>
        </w:rPr>
        <w:t>1.12.</w:t>
      </w:r>
      <w:r w:rsidR="00953D5D">
        <w:rPr>
          <w:rFonts w:ascii="Arial" w:hAnsi="Arial" w:cs="Arial"/>
        </w:rPr>
        <w:t>202</w:t>
      </w:r>
      <w:r w:rsidR="006D4B26">
        <w:rPr>
          <w:rFonts w:ascii="Arial" w:hAnsi="Arial" w:cs="Arial"/>
          <w:lang w:val="bg-BG"/>
        </w:rPr>
        <w:t>4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45029B4D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100CA4BA" w14:textId="5402FADC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115EB4FF" w14:textId="77777777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B2D36">
      <w:footerReference w:type="default" r:id="rId9"/>
      <w:pgSz w:w="11900" w:h="16840"/>
      <w:pgMar w:top="709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4FAF" w14:textId="77777777" w:rsidR="00A17D3B" w:rsidRDefault="00A17D3B">
      <w:r>
        <w:separator/>
      </w:r>
    </w:p>
  </w:endnote>
  <w:endnote w:type="continuationSeparator" w:id="0">
    <w:p w14:paraId="6F1CC8A1" w14:textId="77777777" w:rsidR="00A17D3B" w:rsidRDefault="00A1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0A944C6E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5D" w:rsidRPr="00BB175D">
          <w:rPr>
            <w:noProof/>
            <w:lang w:val="bg-BG"/>
          </w:rPr>
          <w:t>3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5C5A" w14:textId="77777777" w:rsidR="00A17D3B" w:rsidRDefault="00A17D3B">
      <w:r>
        <w:separator/>
      </w:r>
    </w:p>
  </w:footnote>
  <w:footnote w:type="continuationSeparator" w:id="0">
    <w:p w14:paraId="0B4B74F5" w14:textId="77777777" w:rsidR="00A17D3B" w:rsidRDefault="00A1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42E6D"/>
    <w:rsid w:val="0007578D"/>
    <w:rsid w:val="000942AD"/>
    <w:rsid w:val="000D15E3"/>
    <w:rsid w:val="000F1054"/>
    <w:rsid w:val="000F529F"/>
    <w:rsid w:val="000F733D"/>
    <w:rsid w:val="00117B70"/>
    <w:rsid w:val="00126E15"/>
    <w:rsid w:val="001501B7"/>
    <w:rsid w:val="00151763"/>
    <w:rsid w:val="001519BC"/>
    <w:rsid w:val="00157570"/>
    <w:rsid w:val="00164C28"/>
    <w:rsid w:val="00175784"/>
    <w:rsid w:val="001A3081"/>
    <w:rsid w:val="001A3659"/>
    <w:rsid w:val="001A3E2D"/>
    <w:rsid w:val="001C41EB"/>
    <w:rsid w:val="001D73B8"/>
    <w:rsid w:val="002416E6"/>
    <w:rsid w:val="0026625B"/>
    <w:rsid w:val="00284EEE"/>
    <w:rsid w:val="00285179"/>
    <w:rsid w:val="0028576F"/>
    <w:rsid w:val="0029578C"/>
    <w:rsid w:val="002A1111"/>
    <w:rsid w:val="002B125C"/>
    <w:rsid w:val="002B452D"/>
    <w:rsid w:val="002B64B0"/>
    <w:rsid w:val="002B7C77"/>
    <w:rsid w:val="002C21C0"/>
    <w:rsid w:val="002C4F1A"/>
    <w:rsid w:val="002D3FF6"/>
    <w:rsid w:val="00310B59"/>
    <w:rsid w:val="0032575F"/>
    <w:rsid w:val="003D459F"/>
    <w:rsid w:val="003F1559"/>
    <w:rsid w:val="00402753"/>
    <w:rsid w:val="00420BC8"/>
    <w:rsid w:val="0042348F"/>
    <w:rsid w:val="004656BC"/>
    <w:rsid w:val="00466C96"/>
    <w:rsid w:val="00474CED"/>
    <w:rsid w:val="004819A7"/>
    <w:rsid w:val="004858AA"/>
    <w:rsid w:val="00486E57"/>
    <w:rsid w:val="004A609F"/>
    <w:rsid w:val="004D318C"/>
    <w:rsid w:val="005017E7"/>
    <w:rsid w:val="00584781"/>
    <w:rsid w:val="005B0521"/>
    <w:rsid w:val="005E2705"/>
    <w:rsid w:val="0060136D"/>
    <w:rsid w:val="00622FC6"/>
    <w:rsid w:val="00641808"/>
    <w:rsid w:val="00645B44"/>
    <w:rsid w:val="00662D47"/>
    <w:rsid w:val="00682A63"/>
    <w:rsid w:val="00685AE5"/>
    <w:rsid w:val="006A7036"/>
    <w:rsid w:val="006D393C"/>
    <w:rsid w:val="006D4B26"/>
    <w:rsid w:val="006E5E80"/>
    <w:rsid w:val="00732474"/>
    <w:rsid w:val="00736740"/>
    <w:rsid w:val="00763A92"/>
    <w:rsid w:val="00771F8D"/>
    <w:rsid w:val="007C2E1D"/>
    <w:rsid w:val="007E2E42"/>
    <w:rsid w:val="007F44A9"/>
    <w:rsid w:val="00865A0F"/>
    <w:rsid w:val="00871173"/>
    <w:rsid w:val="008B1D69"/>
    <w:rsid w:val="008E1773"/>
    <w:rsid w:val="009109F4"/>
    <w:rsid w:val="00915D63"/>
    <w:rsid w:val="00927DA1"/>
    <w:rsid w:val="00942990"/>
    <w:rsid w:val="00942C77"/>
    <w:rsid w:val="00953D5D"/>
    <w:rsid w:val="00960EAC"/>
    <w:rsid w:val="00981B79"/>
    <w:rsid w:val="00991954"/>
    <w:rsid w:val="009A019F"/>
    <w:rsid w:val="00A1111D"/>
    <w:rsid w:val="00A17D3B"/>
    <w:rsid w:val="00A24E65"/>
    <w:rsid w:val="00A35E3C"/>
    <w:rsid w:val="00A458FB"/>
    <w:rsid w:val="00A8217E"/>
    <w:rsid w:val="00AF3ED4"/>
    <w:rsid w:val="00B3109D"/>
    <w:rsid w:val="00BA4E47"/>
    <w:rsid w:val="00BB175D"/>
    <w:rsid w:val="00BF3E4B"/>
    <w:rsid w:val="00C20BD9"/>
    <w:rsid w:val="00C24093"/>
    <w:rsid w:val="00C24A0E"/>
    <w:rsid w:val="00C71B16"/>
    <w:rsid w:val="00CA0CA2"/>
    <w:rsid w:val="00CB2D36"/>
    <w:rsid w:val="00CC4382"/>
    <w:rsid w:val="00CF7BF5"/>
    <w:rsid w:val="00D01BED"/>
    <w:rsid w:val="00D21042"/>
    <w:rsid w:val="00D33E63"/>
    <w:rsid w:val="00D4519C"/>
    <w:rsid w:val="00D71926"/>
    <w:rsid w:val="00D751FA"/>
    <w:rsid w:val="00DB5613"/>
    <w:rsid w:val="00DD7A72"/>
    <w:rsid w:val="00DE6287"/>
    <w:rsid w:val="00DF4F40"/>
    <w:rsid w:val="00E30981"/>
    <w:rsid w:val="00E61DBE"/>
    <w:rsid w:val="00E87CDF"/>
    <w:rsid w:val="00EE4A86"/>
    <w:rsid w:val="00EE6AC6"/>
    <w:rsid w:val="00EF1807"/>
    <w:rsid w:val="00EF6047"/>
    <w:rsid w:val="00EF7D76"/>
    <w:rsid w:val="00F4294F"/>
    <w:rsid w:val="00F45DF3"/>
    <w:rsid w:val="00FA10AE"/>
    <w:rsid w:val="00FB444A"/>
    <w:rsid w:val="00FD027D"/>
    <w:rsid w:val="00FD5C87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OQsGt7Qfg69Vkyj+XTFyBepphGsKl2z5k9aupo/Dnak=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185n5OThI1I7wL0Wa+zn7fPsWqLky9k/NxIHVfYDmUo=</DigestValue>
    </Reference>
  </SignedInfo>
  <SignatureValue>dK47lFIlgppfeEVaACj9tvQDKNzfwVfUlbgVQrL1qV2MYVwzeLCzX6GLTXurGp661ypYcJ6ZWE8x
yc/kypwz75FM7f4FFc7/BYJVxy9OsKaaOvwQChoDhLHAiiMeRYERb3ZJigihZ3k5lPt9apCY4p3R
3VM2E5EKjcWs8aw1HDvGhrlMIdPUM8YzMmr2LLOxQXK6k7VfXfxHYGrNBv6VnLld9ulnRTud1Tus
NBsRU9CZ6DDX+G8mi0ugVYFLp8FL2eZUhLLe6kr5cx2RwNmvjtNpbhAYcMVGybfZRXZNwL82ZK9S
wc4LEPPH8tXUCNO7dxhlvQTnwDmMuihpmyTaEw==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vlcmEbiuc/WlmgFsIUGKRwF6gV3bK0diISseTtqMqog=</DigestValue>
      </Reference>
      <Reference URI="/word/endnotes.xml?ContentType=application/vnd.openxmlformats-officedocument.wordprocessingml.endnotes+xml">
        <DigestMethod Algorithm="http://www.w3.org/2001/04/xmlenc#sha256"/>
        <DigestValue>ODPz9ovIf/mZswceRZApBt7Em6A6yOtx+TkW+Ww3tzo=</DigestValue>
      </Reference>
      <Reference URI="/word/fontTable.xml?ContentType=application/vnd.openxmlformats-officedocument.wordprocessingml.fontTable+xml">
        <DigestMethod Algorithm="http://www.w3.org/2001/04/xmlenc#sha256"/>
        <DigestValue>wMjQlQ4pC3LMeQOiqTKec1KSbl+nOKqezKfZBc+yWyk=</DigestValue>
      </Reference>
      <Reference URI="/word/footer1.xml?ContentType=application/vnd.openxmlformats-officedocument.wordprocessingml.footer+xml">
        <DigestMethod Algorithm="http://www.w3.org/2001/04/xmlenc#sha256"/>
        <DigestValue>iMzAsW3t5WHHXozeAo8cOax+Es9h5xx9ZlcmCZ+2U78=</DigestValue>
      </Reference>
      <Reference URI="/word/footnotes.xml?ContentType=application/vnd.openxmlformats-officedocument.wordprocessingml.footnotes+xml">
        <DigestMethod Algorithm="http://www.w3.org/2001/04/xmlenc#sha256"/>
        <DigestValue>oGeGraI8G09eNijUBZ++u64kK286fqKX6ZWANmcWxVo=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b/VNirHe044tXbbbzLFizkCf9g+kycf2RUXlhtL2vY4=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2025-01-30T08:45:47Z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2025-01-30T08:45:47Z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303B-45F9-4583-A437-A64949CB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113</cp:revision>
  <cp:lastPrinted>2024-10-28T11:53:00Z</cp:lastPrinted>
  <dcterms:created xsi:type="dcterms:W3CDTF">2022-07-28T10:23:00Z</dcterms:created>
  <dcterms:modified xsi:type="dcterms:W3CDTF">2025-01-24T10:13:00Z</dcterms:modified>
</cp:coreProperties>
</file>