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4DCB7CD1" w:rsidR="00EF3CDE" w:rsidRDefault="00F148F9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</w:t>
      </w:r>
      <w:r w:rsidR="00932268">
        <w:rPr>
          <w:rStyle w:val="None"/>
          <w:rFonts w:ascii="Arial" w:hAnsi="Arial"/>
          <w:b/>
          <w:bCs/>
        </w:rPr>
        <w:t>Съгласно ч</w:t>
      </w:r>
      <w:r>
        <w:rPr>
          <w:rStyle w:val="None"/>
          <w:rFonts w:ascii="Arial" w:hAnsi="Arial"/>
          <w:b/>
          <w:bCs/>
        </w:rPr>
        <w:t>л.12, ал.1, т.4 от Наредба №2 /</w:t>
      </w:r>
      <w:r w:rsidR="00932268">
        <w:rPr>
          <w:rStyle w:val="None"/>
          <w:rFonts w:ascii="Arial" w:hAnsi="Arial"/>
          <w:b/>
          <w:bCs/>
        </w:rPr>
        <w:t>в сила от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47F0DFF9" w:rsidR="00EF3CDE" w:rsidRPr="00DD3A44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към финансов отчет – 3</w:t>
      </w:r>
      <w:r w:rsidR="003A0CB4">
        <w:rPr>
          <w:rStyle w:val="None"/>
          <w:rFonts w:ascii="Arial" w:hAnsi="Arial"/>
          <w:b/>
          <w:bCs/>
          <w:sz w:val="28"/>
          <w:szCs w:val="28"/>
          <w:lang w:val="bg-BG"/>
        </w:rPr>
        <w:t>0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8A44E3">
        <w:rPr>
          <w:rStyle w:val="None"/>
          <w:rFonts w:ascii="Arial" w:hAnsi="Arial"/>
          <w:b/>
          <w:bCs/>
          <w:sz w:val="28"/>
          <w:szCs w:val="28"/>
          <w:lang w:val="bg-BG"/>
        </w:rPr>
        <w:t>0</w:t>
      </w:r>
      <w:r w:rsidR="003A0CB4">
        <w:rPr>
          <w:rStyle w:val="None"/>
          <w:rFonts w:ascii="Arial" w:hAnsi="Arial"/>
          <w:b/>
          <w:bCs/>
          <w:sz w:val="28"/>
          <w:szCs w:val="28"/>
          <w:lang w:val="bg-BG"/>
        </w:rPr>
        <w:t>6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8A44E3">
        <w:rPr>
          <w:rStyle w:val="None"/>
          <w:rFonts w:ascii="Arial" w:hAnsi="Arial"/>
          <w:b/>
          <w:bCs/>
          <w:sz w:val="28"/>
          <w:szCs w:val="28"/>
          <w:lang w:val="bg-BG"/>
        </w:rPr>
        <w:t>4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 xml:space="preserve"> год.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45E216AD" w:rsidR="00636F9D" w:rsidRDefault="008A44E3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тримесечие на 2024</w:t>
      </w:r>
      <w:r w:rsidR="00636F9D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 w:rsidR="005A5855">
        <w:rPr>
          <w:sz w:val="24"/>
          <w:szCs w:val="24"/>
          <w:lang w:val="bg-BG"/>
        </w:rPr>
        <w:t xml:space="preserve"> асоциирано</w:t>
      </w:r>
      <w:r w:rsidR="00951F92">
        <w:rPr>
          <w:sz w:val="24"/>
          <w:szCs w:val="24"/>
          <w:lang w:val="bg-BG"/>
        </w:rPr>
        <w:t xml:space="preserve"> дружеств</w:t>
      </w:r>
      <w:r w:rsidR="005A5855">
        <w:rPr>
          <w:sz w:val="24"/>
          <w:szCs w:val="24"/>
          <w:lang w:val="bg-BG"/>
        </w:rPr>
        <w:t>о</w:t>
      </w:r>
      <w:r w:rsidR="00951F92">
        <w:rPr>
          <w:sz w:val="24"/>
          <w:szCs w:val="24"/>
          <w:lang w:val="bg-BG"/>
        </w:rPr>
        <w:t xml:space="preserve"> - </w:t>
      </w:r>
      <w:r w:rsidR="00A36303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ВРАЦА СТИЛ</w:t>
      </w:r>
      <w:r w:rsidR="00A36303">
        <w:rPr>
          <w:sz w:val="24"/>
          <w:szCs w:val="24"/>
          <w:lang w:val="bg-BG"/>
        </w:rPr>
        <w:t>“ АД</w:t>
      </w:r>
      <w:r w:rsidR="005A5855">
        <w:rPr>
          <w:sz w:val="24"/>
          <w:szCs w:val="24"/>
          <w:lang w:val="bg-BG"/>
        </w:rPr>
        <w:t>.</w:t>
      </w:r>
    </w:p>
    <w:p w14:paraId="619FF823" w14:textId="18D0F4DE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234E9588" w14:textId="4D983F64" w:rsidR="003A0CB4" w:rsidRDefault="003A0CB4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второто тримесечие на 2024 г. ХД „ДУНАВ“ АД не е извършвал сделки.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lastRenderedPageBreak/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21D64683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 на директорите,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притежават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към 3</w:t>
      </w:r>
      <w:r w:rsidR="003A0CB4">
        <w:rPr>
          <w:rStyle w:val="None"/>
          <w:rFonts w:ascii="Arial" w:hAnsi="Arial"/>
          <w:sz w:val="24"/>
          <w:szCs w:val="24"/>
          <w:lang w:val="ru-RU"/>
        </w:rPr>
        <w:t>0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8A44E3">
        <w:rPr>
          <w:rStyle w:val="None"/>
          <w:rFonts w:ascii="Arial" w:hAnsi="Arial"/>
          <w:sz w:val="24"/>
          <w:szCs w:val="24"/>
          <w:lang w:val="ru-RU"/>
        </w:rPr>
        <w:t>0</w:t>
      </w:r>
      <w:r w:rsidR="003A0CB4">
        <w:rPr>
          <w:rStyle w:val="None"/>
          <w:rFonts w:ascii="Arial" w:hAnsi="Arial"/>
          <w:sz w:val="24"/>
          <w:szCs w:val="24"/>
          <w:lang w:val="ru-RU"/>
        </w:rPr>
        <w:t>6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8A44E3">
        <w:rPr>
          <w:rStyle w:val="None"/>
          <w:rFonts w:ascii="Arial" w:hAnsi="Arial"/>
          <w:sz w:val="24"/>
          <w:szCs w:val="24"/>
          <w:lang w:val="ru-RU"/>
        </w:rPr>
        <w:t>4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065 бр. акции.</w:t>
      </w:r>
    </w:p>
    <w:p w14:paraId="7C374016" w14:textId="4CEB8CA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 w:rsidR="003B60D2">
        <w:rPr>
          <w:rStyle w:val="None"/>
          <w:rFonts w:ascii="Arial" w:hAnsi="Arial"/>
          <w:sz w:val="24"/>
          <w:szCs w:val="24"/>
          <w:lang w:val="ru-RU"/>
        </w:rPr>
        <w:t xml:space="preserve"> – </w:t>
      </w:r>
      <w:r w:rsidR="003A0CB4">
        <w:rPr>
          <w:rStyle w:val="None"/>
          <w:rFonts w:ascii="Arial" w:hAnsi="Arial"/>
          <w:sz w:val="24"/>
          <w:szCs w:val="24"/>
          <w:lang w:val="ru-RU"/>
        </w:rPr>
        <w:t xml:space="preserve">3641 </w:t>
      </w:r>
      <w:bookmarkStart w:id="0" w:name="_GoBack"/>
      <w:bookmarkEnd w:id="0"/>
      <w:r>
        <w:rPr>
          <w:rStyle w:val="None"/>
          <w:rFonts w:ascii="Arial" w:hAnsi="Arial"/>
          <w:sz w:val="24"/>
          <w:szCs w:val="24"/>
          <w:lang w:val="ru-RU"/>
        </w:rPr>
        <w:t>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0DF480C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>
      <w:footerReference w:type="default" r:id="rId7"/>
      <w:pgSz w:w="11900" w:h="16840"/>
      <w:pgMar w:top="899" w:right="992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F1E33" w14:textId="77777777" w:rsidR="00CA412E" w:rsidRDefault="00CA412E">
      <w:r>
        <w:separator/>
      </w:r>
    </w:p>
  </w:endnote>
  <w:endnote w:type="continuationSeparator" w:id="0">
    <w:p w14:paraId="6E5192F3" w14:textId="77777777" w:rsidR="00CA412E" w:rsidRDefault="00CA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4FCE1637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F072FC">
      <w:rPr>
        <w:noProof/>
      </w:rPr>
      <w:t>2</w:t>
    </w:r>
    <w:r>
      <w:fldChar w:fldCharType="end"/>
    </w:r>
  </w:p>
  <w:p w14:paraId="6323B2FD" w14:textId="470A0F96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  <w:rPr>
        <w:rStyle w:val="None"/>
      </w:rPr>
    </w:pPr>
    <w:r>
      <w:t>3000 Враца ул.Стоян Кялъчев”№6, п.к.31,</w:t>
    </w:r>
    <w:r w:rsidR="00DC7E94">
      <w:rPr>
        <w:lang w:val="bg-BG"/>
      </w:rPr>
      <w:t xml:space="preserve"> мобилен </w:t>
    </w:r>
    <w:r>
      <w:t>тел:</w:t>
    </w:r>
    <w:r w:rsidR="00DC7E94">
      <w:rPr>
        <w:lang w:val="bg-BG"/>
      </w:rPr>
      <w:t xml:space="preserve"> +35</w:t>
    </w:r>
    <w:r>
      <w:t>9</w:t>
    </w:r>
    <w:r w:rsidR="00DC7E94">
      <w:rPr>
        <w:lang w:val="bg-BG"/>
      </w:rPr>
      <w:t> 877 08 84 58</w:t>
    </w:r>
    <w:r>
      <w:t xml:space="preserve">,е-mail: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F672" w14:textId="77777777" w:rsidR="00CA412E" w:rsidRDefault="00CA412E">
      <w:r>
        <w:separator/>
      </w:r>
    </w:p>
  </w:footnote>
  <w:footnote w:type="continuationSeparator" w:id="0">
    <w:p w14:paraId="59BE78C4" w14:textId="77777777" w:rsidR="00CA412E" w:rsidRDefault="00CA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7546E"/>
    <w:rsid w:val="00121ECD"/>
    <w:rsid w:val="00157B4A"/>
    <w:rsid w:val="00211F3B"/>
    <w:rsid w:val="00231BD9"/>
    <w:rsid w:val="00241830"/>
    <w:rsid w:val="00296D11"/>
    <w:rsid w:val="002E0E34"/>
    <w:rsid w:val="003530F0"/>
    <w:rsid w:val="003A0CB4"/>
    <w:rsid w:val="003B60D2"/>
    <w:rsid w:val="004A4038"/>
    <w:rsid w:val="004E10C3"/>
    <w:rsid w:val="005A5855"/>
    <w:rsid w:val="005D4A37"/>
    <w:rsid w:val="0063442D"/>
    <w:rsid w:val="00636F9D"/>
    <w:rsid w:val="006462E5"/>
    <w:rsid w:val="006F68AA"/>
    <w:rsid w:val="00701644"/>
    <w:rsid w:val="007A5E83"/>
    <w:rsid w:val="008411AB"/>
    <w:rsid w:val="0086464C"/>
    <w:rsid w:val="008A44E3"/>
    <w:rsid w:val="008C7197"/>
    <w:rsid w:val="008E459A"/>
    <w:rsid w:val="00905201"/>
    <w:rsid w:val="00932268"/>
    <w:rsid w:val="009402AD"/>
    <w:rsid w:val="00951F92"/>
    <w:rsid w:val="00A36303"/>
    <w:rsid w:val="00A4771E"/>
    <w:rsid w:val="00A904F3"/>
    <w:rsid w:val="00AD1E65"/>
    <w:rsid w:val="00AD5E90"/>
    <w:rsid w:val="00B1216D"/>
    <w:rsid w:val="00C26A24"/>
    <w:rsid w:val="00C63A8E"/>
    <w:rsid w:val="00CA412E"/>
    <w:rsid w:val="00CF7D85"/>
    <w:rsid w:val="00D66A7E"/>
    <w:rsid w:val="00D808C3"/>
    <w:rsid w:val="00DC7E94"/>
    <w:rsid w:val="00DD3A44"/>
    <w:rsid w:val="00EB728B"/>
    <w:rsid w:val="00EF3CDE"/>
    <w:rsid w:val="00F072FC"/>
    <w:rsid w:val="00F148F9"/>
    <w:rsid w:val="00F1521B"/>
    <w:rsid w:val="00F43355"/>
    <w:rsid w:val="00F65D7E"/>
    <w:rsid w:val="00F974CD"/>
    <w:rsid w:val="00FC5A28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DC7E94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C7E9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DC7E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w5Y5dnttWKLD6Y8KAMSzlhV/yqNst+z46btdghRzLvo=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6Gqq9dLegQgOMI4t87jC9TOnKl9xLvcwTIlTurJt7YA=</DigestValue>
    </Reference>
  </SignedInfo>
  <SignatureValue>dV+kJBondZh8v6dc8oY7X8GsVGJBU5Y61jwgvC0m+aUg5aAptDAdKnwhp9eo8rEZBAwJM+LWFi8g
iWSvnOk3sM6ovjTY64p9hGI1GyV2L2Pm1BYTUjJ6sCedM2XUf5Q09K154SLEZk2mrcjCN1ft3g4q
i5mmtsHwlvm0ZdTQKYcEXu205SkysNHn94MSP0tCTBOCZaxAMnWjMLVUdbnS9lTVxsyf6J1U44/H
sKU6Kcsz9qRvv2Bv3OwRkUDZKzFVoYXZ/k3J3Drpg935xQokeHNMep8rOcgBs9wBksFk5bKFiGRj
ETji9im9Q3KbK+62xqQBB1OJTdMe+PlcWxmHGQ==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h2gnxnHZQ6ROMhr13/TAlLo2Y+SXFkvUQ1gXSENgAO4=</DigestValue>
      </Reference>
      <Reference URI="/word/endnotes.xml?ContentType=application/vnd.openxmlformats-officedocument.wordprocessingml.endnotes+xml">
        <DigestMethod Algorithm="http://www.w3.org/2001/04/xmlenc#sha256"/>
        <DigestValue>FX4XCvaPEq2SU3U8a+++3hNatbWb5iP6jVaE7Gmn5C4=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mU4/BoK96mJfx5/yxmMobRaugiJ5kQDX+WR7Evf3YgU=</DigestValue>
      </Reference>
      <Reference URI="/word/footnotes.xml?ContentType=application/vnd.openxmlformats-officedocument.wordprocessingml.footnotes+xml">
        <DigestMethod Algorithm="http://www.w3.org/2001/04/xmlenc#sha256"/>
        <DigestValue>41htug5+0G+2lRkQFpbwbSbumDX1as0tjGMtedcubBE=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WyLJLHyhv7lC8df0iaAH4TPWUSx4mf0PqKnA45arE0w=</DigestValue>
      </Reference>
      <Reference URI="/word/styles.xml?ContentType=application/vnd.openxmlformats-officedocument.wordprocessingml.styles+xml">
        <DigestMethod Algorithm="http://www.w3.org/2001/04/xmlenc#sha256"/>
        <DigestValue>lart4QuTfBuGlsurCy6X21n6x6OQtI8CG3Ln/CyorKg=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mjg4OrORvqMHXIDzFf6TEs8R8e0KjBAgFW1YdSeJrGk=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2024-07-19T12:04:53Z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2024-07-19T12:04:53Z</xd:SigningTime>
          <xd:SigningCertificate>
            <xd:Cert>
              <xd:CertDigest>
                <DigestMethod Algorithm="http://www.w3.org/2001/04/xmlenc#sha256"/>
                <DigestValue>23kyCet8KjBMnVzgjNEnWnt4MZpDa6UsqrsRryEqNgk=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38</cp:revision>
  <cp:lastPrinted>2023-01-27T07:37:00Z</cp:lastPrinted>
  <dcterms:created xsi:type="dcterms:W3CDTF">2022-07-28T10:17:00Z</dcterms:created>
  <dcterms:modified xsi:type="dcterms:W3CDTF">2024-07-04T12:09:00Z</dcterms:modified>
</cp:coreProperties>
</file>