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8A669" w14:textId="77777777" w:rsidR="00EF3CDE" w:rsidRDefault="00932268">
      <w:pPr>
        <w:pStyle w:val="10"/>
        <w:jc w:val="both"/>
        <w:rPr>
          <w:rStyle w:val="None"/>
          <w:rFonts w:ascii="Arial" w:eastAsia="Arial" w:hAnsi="Arial" w:cs="Arial"/>
        </w:rPr>
      </w:pPr>
      <w:r>
        <w:rPr>
          <w:noProof/>
          <w:lang w:val="bg-BG" w:eastAsia="bg-BG"/>
        </w:rPr>
        <w:drawing>
          <wp:inline distT="0" distB="0" distL="0" distR="0" wp14:anchorId="3AD1B70C" wp14:editId="1A6817FC">
            <wp:extent cx="5267203" cy="1534882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203" cy="15348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84B66D" w14:textId="77777777" w:rsidR="00EF3CDE" w:rsidRDefault="00932268">
      <w:pPr>
        <w:pStyle w:val="10"/>
        <w:tabs>
          <w:tab w:val="left" w:pos="5103"/>
        </w:tabs>
        <w:ind w:left="5103"/>
        <w:rPr>
          <w:rStyle w:val="None"/>
          <w:rFonts w:ascii="Arial" w:eastAsia="Arial" w:hAnsi="Arial" w:cs="Arial"/>
          <w:b/>
          <w:bCs/>
        </w:rPr>
      </w:pPr>
      <w:proofErr w:type="gramStart"/>
      <w:r>
        <w:rPr>
          <w:rStyle w:val="None"/>
          <w:rFonts w:ascii="Arial" w:hAnsi="Arial"/>
          <w:b/>
          <w:bCs/>
        </w:rPr>
        <w:t xml:space="preserve">( </w:t>
      </w:r>
      <w:proofErr w:type="spellStart"/>
      <w:r>
        <w:rPr>
          <w:rStyle w:val="None"/>
          <w:rFonts w:ascii="Arial" w:hAnsi="Arial"/>
          <w:b/>
          <w:bCs/>
        </w:rPr>
        <w:t>Съгласно</w:t>
      </w:r>
      <w:proofErr w:type="spellEnd"/>
      <w:proofErr w:type="gramEnd"/>
      <w:r>
        <w:rPr>
          <w:rStyle w:val="None"/>
          <w:rFonts w:ascii="Arial" w:hAnsi="Arial"/>
          <w:b/>
          <w:bCs/>
        </w:rPr>
        <w:t xml:space="preserve"> чл.12, ал.1, т.4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Наредба</w:t>
      </w:r>
      <w:proofErr w:type="spellEnd"/>
      <w:r>
        <w:rPr>
          <w:rStyle w:val="None"/>
          <w:rFonts w:ascii="Arial" w:hAnsi="Arial"/>
          <w:b/>
          <w:bCs/>
        </w:rPr>
        <w:t xml:space="preserve"> №2 / в </w:t>
      </w:r>
      <w:proofErr w:type="spellStart"/>
      <w:r>
        <w:rPr>
          <w:rStyle w:val="None"/>
          <w:rFonts w:ascii="Arial" w:hAnsi="Arial"/>
          <w:b/>
          <w:bCs/>
        </w:rPr>
        <w:t>сила</w:t>
      </w:r>
      <w:proofErr w:type="spellEnd"/>
      <w:r>
        <w:rPr>
          <w:rStyle w:val="None"/>
          <w:rFonts w:ascii="Arial" w:hAnsi="Arial"/>
          <w:b/>
          <w:bCs/>
        </w:rPr>
        <w:t xml:space="preserve"> </w:t>
      </w:r>
      <w:proofErr w:type="spellStart"/>
      <w:r>
        <w:rPr>
          <w:rStyle w:val="None"/>
          <w:rFonts w:ascii="Arial" w:hAnsi="Arial"/>
          <w:b/>
          <w:bCs/>
        </w:rPr>
        <w:t>от</w:t>
      </w:r>
      <w:proofErr w:type="spellEnd"/>
      <w:r>
        <w:rPr>
          <w:rStyle w:val="None"/>
          <w:rFonts w:ascii="Arial" w:hAnsi="Arial"/>
          <w:b/>
          <w:bCs/>
        </w:rPr>
        <w:t xml:space="preserve"> 05.04.2022 г.)</w:t>
      </w:r>
    </w:p>
    <w:p w14:paraId="5E575AD9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58451C35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6E58143D" w14:textId="77777777" w:rsidR="00EF3CDE" w:rsidRDefault="00EF3CDE">
      <w:pPr>
        <w:pStyle w:val="10"/>
        <w:tabs>
          <w:tab w:val="left" w:pos="5580"/>
        </w:tabs>
        <w:ind w:left="142"/>
        <w:rPr>
          <w:rStyle w:val="None"/>
          <w:rFonts w:ascii="Arial" w:eastAsia="Arial" w:hAnsi="Arial" w:cs="Arial"/>
          <w:b/>
          <w:bCs/>
          <w:sz w:val="24"/>
          <w:szCs w:val="24"/>
        </w:rPr>
      </w:pPr>
    </w:p>
    <w:p w14:paraId="440D5315" w14:textId="77777777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r>
        <w:rPr>
          <w:rStyle w:val="None"/>
          <w:rFonts w:ascii="Arial" w:hAnsi="Arial"/>
          <w:b/>
          <w:bCs/>
          <w:sz w:val="28"/>
          <w:szCs w:val="28"/>
        </w:rPr>
        <w:t>ДОПЪЛНИТЕЛНА ИНФОРМАЦИЯ</w:t>
      </w:r>
    </w:p>
    <w:p w14:paraId="4E392E43" w14:textId="37148560" w:rsidR="00EF3CDE" w:rsidRDefault="00932268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към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финансов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отчет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 – 30.0</w:t>
      </w:r>
      <w:r w:rsidR="003530F0">
        <w:rPr>
          <w:rStyle w:val="None"/>
          <w:rFonts w:ascii="Arial" w:hAnsi="Arial"/>
          <w:b/>
          <w:bCs/>
          <w:sz w:val="28"/>
          <w:szCs w:val="28"/>
        </w:rPr>
        <w:t>9</w:t>
      </w:r>
      <w:r>
        <w:rPr>
          <w:rStyle w:val="None"/>
          <w:rFonts w:ascii="Arial" w:hAnsi="Arial"/>
          <w:b/>
          <w:bCs/>
          <w:sz w:val="28"/>
          <w:szCs w:val="28"/>
        </w:rPr>
        <w:t xml:space="preserve">.2022 </w:t>
      </w:r>
      <w:proofErr w:type="spellStart"/>
      <w:r>
        <w:rPr>
          <w:rStyle w:val="None"/>
          <w:rFonts w:ascii="Arial" w:hAnsi="Arial"/>
          <w:b/>
          <w:bCs/>
          <w:sz w:val="28"/>
          <w:szCs w:val="28"/>
        </w:rPr>
        <w:t>год</w:t>
      </w:r>
      <w:proofErr w:type="spellEnd"/>
      <w:r>
        <w:rPr>
          <w:rStyle w:val="None"/>
          <w:rFonts w:ascii="Arial" w:hAnsi="Arial"/>
          <w:b/>
          <w:bCs/>
          <w:sz w:val="28"/>
          <w:szCs w:val="28"/>
        </w:rPr>
        <w:t xml:space="preserve">. </w:t>
      </w:r>
    </w:p>
    <w:p w14:paraId="02B08DD2" w14:textId="77777777" w:rsidR="00EF3CDE" w:rsidRDefault="00EF3CDE">
      <w:pPr>
        <w:pStyle w:val="10"/>
        <w:tabs>
          <w:tab w:val="left" w:pos="4536"/>
        </w:tabs>
        <w:ind w:right="46" w:firstLine="851"/>
        <w:jc w:val="center"/>
        <w:rPr>
          <w:rStyle w:val="None"/>
          <w:rFonts w:ascii="Arial" w:eastAsia="Arial" w:hAnsi="Arial" w:cs="Arial"/>
          <w:b/>
          <w:bCs/>
          <w:sz w:val="28"/>
          <w:szCs w:val="28"/>
        </w:rPr>
      </w:pPr>
    </w:p>
    <w:p w14:paraId="77CE940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А.) Информация за промените в счетоводната политика през отчетния период, причините за тяхното извършване и по какъв начин се отразяват на финансовия резултат и собствения капитал на емитента.</w:t>
      </w:r>
    </w:p>
    <w:p w14:paraId="4B1258AA" w14:textId="2BD3350D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proofErr w:type="spellStart"/>
      <w:r>
        <w:rPr>
          <w:rStyle w:val="None"/>
          <w:rFonts w:ascii="Arial" w:hAnsi="Arial"/>
          <w:sz w:val="24"/>
          <w:szCs w:val="24"/>
        </w:rPr>
        <w:t>яма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извършени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промени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19E0568A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4E64AB5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Б.) Информация за настъпили промени в икономическата група на емитента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по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смисъла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Закона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за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b/>
          <w:bCs/>
          <w:sz w:val="24"/>
          <w:szCs w:val="24"/>
        </w:rPr>
        <w:t>счетоводството</w:t>
      </w:r>
      <w:proofErr w:type="spellEnd"/>
      <w:r>
        <w:rPr>
          <w:rStyle w:val="None"/>
          <w:rFonts w:ascii="Arial" w:hAnsi="Arial"/>
          <w:b/>
          <w:bCs/>
          <w:sz w:val="24"/>
          <w:szCs w:val="24"/>
        </w:rPr>
        <w:t>.</w:t>
      </w:r>
    </w:p>
    <w:p w14:paraId="070F410B" w14:textId="7EF4B634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Няма промяна.</w:t>
      </w:r>
    </w:p>
    <w:p w14:paraId="6F3EFB31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5E37697B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В.) Информация за резултатите от организационни промени в рамките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>“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 АД като преобразуване, продажба на дружества от група предприятия по смисъла на Закона за счетоводството, апортни вноски от дружеството, даване под наем на имущество, дългосрочни инвестиции, преустановяване на дейност:</w:t>
      </w:r>
    </w:p>
    <w:p w14:paraId="7E1408BB" w14:textId="4D437B5B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първото полугодие на 2022 г. ХД „ДУНАВ“ АД е продал на несвързани лица акциите си от капитала на</w:t>
      </w:r>
      <w:r w:rsidR="00A36303">
        <w:rPr>
          <w:sz w:val="24"/>
          <w:szCs w:val="24"/>
        </w:rPr>
        <w:t xml:space="preserve"> </w:t>
      </w:r>
      <w:r w:rsidR="00A36303">
        <w:rPr>
          <w:sz w:val="24"/>
          <w:szCs w:val="24"/>
          <w:lang w:val="bg-BG"/>
        </w:rPr>
        <w:t>„БДИН“ АД</w:t>
      </w:r>
      <w:r>
        <w:rPr>
          <w:sz w:val="24"/>
          <w:szCs w:val="24"/>
          <w:lang w:val="bg-BG"/>
        </w:rPr>
        <w:t xml:space="preserve"> и от капитала на </w:t>
      </w:r>
      <w:r w:rsidR="00A36303">
        <w:rPr>
          <w:sz w:val="24"/>
          <w:szCs w:val="24"/>
          <w:lang w:val="bg-BG"/>
        </w:rPr>
        <w:t>„МЕТАЛТЕХНИК“ АД</w:t>
      </w:r>
      <w:r>
        <w:rPr>
          <w:sz w:val="24"/>
          <w:szCs w:val="24"/>
          <w:lang w:val="bg-BG"/>
        </w:rPr>
        <w:t>.</w:t>
      </w:r>
    </w:p>
    <w:p w14:paraId="619FF823" w14:textId="6A10D45E" w:rsidR="00636F9D" w:rsidRDefault="00636F9D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сделките ХД „ДУНАВ“ АД надлежно и своевременно е уведомил Комисията за финансов надзор, Българската фондова борса и Обществеността.</w:t>
      </w:r>
    </w:p>
    <w:p w14:paraId="22B012DC" w14:textId="59D6114D" w:rsidR="003530F0" w:rsidRPr="003530F0" w:rsidRDefault="003530F0" w:rsidP="00636F9D">
      <w:pPr>
        <w:pStyle w:val="11"/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През третото тримесечие на 2022 год. не са извършвани продажби на акции.</w:t>
      </w:r>
    </w:p>
    <w:p w14:paraId="547C309C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3B61A09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Г.) Становище на управителния орган относно възможностите за реализация на публикувани прогнози за резултатите от текущото тримесечие, като се отчитат резултатите от текущия финансов отчет,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година.</w:t>
      </w:r>
    </w:p>
    <w:p w14:paraId="2B5BC656" w14:textId="296F38F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Управителните органи не са взели решение относно публично представяне на прогнозни финансови резултати.</w:t>
      </w:r>
    </w:p>
    <w:p w14:paraId="7AD48B29" w14:textId="77777777" w:rsidR="00EF3CDE" w:rsidRDefault="00EF3CDE" w:rsidP="00211F3B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</w:p>
    <w:p w14:paraId="46EB8D65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Д.) Данни за лицата, притежаващи пряко и/или непряко най-малко 5 на сто от гласовете в общото събрание към края на съответното тримесечие, и промените в притежаваните от лицата гласове за периода от началото на текущата финансова година до края на отчетния период;</w:t>
      </w:r>
    </w:p>
    <w:p w14:paraId="559C2BF0" w14:textId="56B75171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Тодор Кръстев Топалски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634E84A1" w14:textId="3BDF63D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56430AA6" w14:textId="1D926802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lastRenderedPageBreak/>
        <w:t xml:space="preserve">- </w:t>
      </w:r>
      <w:r w:rsidR="006462E5">
        <w:rPr>
          <w:rStyle w:val="None"/>
          <w:rFonts w:ascii="Arial" w:hAnsi="Arial"/>
          <w:sz w:val="24"/>
          <w:szCs w:val="24"/>
          <w:lang w:val="bg-BG"/>
        </w:rPr>
        <w:t>„</w:t>
      </w:r>
      <w:r>
        <w:rPr>
          <w:rStyle w:val="None"/>
          <w:rFonts w:ascii="Arial" w:hAnsi="Arial"/>
          <w:sz w:val="24"/>
          <w:szCs w:val="24"/>
          <w:lang w:val="ru-RU"/>
        </w:rPr>
        <w:t>В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ЕДЕЯ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И</w:t>
      </w:r>
      <w:r w:rsidR="006462E5">
        <w:rPr>
          <w:rStyle w:val="None"/>
          <w:rFonts w:ascii="Arial" w:hAnsi="Arial"/>
          <w:sz w:val="24"/>
          <w:szCs w:val="24"/>
          <w:lang w:val="ru-RU"/>
        </w:rPr>
        <w:t>НВЕСТ</w:t>
      </w:r>
      <w:r w:rsidR="006462E5">
        <w:rPr>
          <w:rStyle w:val="None"/>
          <w:rFonts w:ascii="Arial" w:hAnsi="Arial"/>
          <w:sz w:val="24"/>
          <w:szCs w:val="24"/>
          <w:lang w:val="en-GB"/>
        </w:rPr>
        <w:t>”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ЕООД – гр. София</w:t>
      </w:r>
      <w:r w:rsidR="00211F3B">
        <w:rPr>
          <w:rStyle w:val="None"/>
          <w:rFonts w:ascii="Arial" w:hAnsi="Arial"/>
          <w:sz w:val="24"/>
          <w:szCs w:val="24"/>
          <w:lang w:val="ru-RU"/>
        </w:rPr>
        <w:t>.</w:t>
      </w:r>
    </w:p>
    <w:p w14:paraId="42FA0B7F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Е.) Данни за акциите, притежавани от членовете на управителните и контролните органи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към края на съответното тримесечие, както и промените, настъпили за периода от началото на текущата финансова година до края на отчетния период за всяко лице поотделно.</w:t>
      </w:r>
    </w:p>
    <w:p w14:paraId="18DAAEC2" w14:textId="20D71595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До 23.03.2022 г. членове на С</w:t>
      </w:r>
      <w:r w:rsidR="00211F3B">
        <w:rPr>
          <w:rStyle w:val="None"/>
          <w:rFonts w:ascii="Arial" w:hAnsi="Arial"/>
          <w:sz w:val="24"/>
          <w:szCs w:val="24"/>
          <w:lang w:val="ru-RU"/>
        </w:rPr>
        <w:t xml:space="preserve">ъвета на директорите </w:t>
      </w:r>
      <w:r>
        <w:rPr>
          <w:rStyle w:val="None"/>
          <w:rFonts w:ascii="Arial" w:hAnsi="Arial"/>
          <w:sz w:val="24"/>
          <w:szCs w:val="24"/>
          <w:lang w:val="ru-RU"/>
        </w:rPr>
        <w:t>са:</w:t>
      </w:r>
    </w:p>
    <w:p w14:paraId="186F13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Борис Тодоров Топалски – Председател на СД и член на СД – 9233 броя акции.</w:t>
      </w:r>
    </w:p>
    <w:p w14:paraId="784848D5" w14:textId="3DFC1E2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Петкова Лазаров –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Зам. Председател на СД – 6138 бр. акции.</w:t>
      </w:r>
    </w:p>
    <w:p w14:paraId="081EFB3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Владимир Ценов Чернев - Независим член на СД -</w:t>
      </w:r>
      <w:r>
        <w:rPr>
          <w:rStyle w:val="None"/>
          <w:rFonts w:ascii="Arial" w:hAnsi="Arial"/>
          <w:sz w:val="24"/>
          <w:szCs w:val="24"/>
        </w:rPr>
        <w:t xml:space="preserve"> </w:t>
      </w:r>
      <w:r>
        <w:rPr>
          <w:rStyle w:val="None"/>
          <w:rFonts w:ascii="Arial" w:hAnsi="Arial"/>
          <w:sz w:val="24"/>
          <w:szCs w:val="24"/>
          <w:lang w:val="ru-RU"/>
        </w:rPr>
        <w:t>0 бр. акции.</w:t>
      </w:r>
    </w:p>
    <w:p w14:paraId="2798D6FC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Калин Петринов Кръстев – Член на СД – 0 бр. акции.</w:t>
      </w:r>
    </w:p>
    <w:p w14:paraId="7948699E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128F0765" w14:textId="62FC0493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От 24.03.2022 членове на С</w:t>
      </w:r>
      <w:r w:rsidR="00A904F3">
        <w:rPr>
          <w:rStyle w:val="None"/>
          <w:rFonts w:ascii="Arial" w:hAnsi="Arial"/>
          <w:sz w:val="24"/>
          <w:szCs w:val="24"/>
          <w:lang w:val="ru-RU"/>
        </w:rPr>
        <w:t>ъвета на директорите,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които към 30.06.2022 притежават:</w:t>
      </w:r>
    </w:p>
    <w:p w14:paraId="141B73D4" w14:textId="2BCAE0E8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-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  <w:lang w:val="ru-RU"/>
        </w:rPr>
        <w:t>Веселинов</w:t>
      </w:r>
      <w:proofErr w:type="spellEnd"/>
      <w:r>
        <w:rPr>
          <w:rStyle w:val="None"/>
          <w:rFonts w:ascii="Arial" w:hAnsi="Arial"/>
          <w:sz w:val="24"/>
          <w:szCs w:val="24"/>
          <w:lang w:val="ru-RU"/>
        </w:rPr>
        <w:t xml:space="preserve"> Аврамов – </w:t>
      </w:r>
      <w:proofErr w:type="spellStart"/>
      <w:r w:rsidR="00A904F3">
        <w:rPr>
          <w:rStyle w:val="None"/>
          <w:rFonts w:ascii="Arial" w:hAnsi="Arial"/>
          <w:sz w:val="24"/>
          <w:szCs w:val="24"/>
          <w:lang w:val="ru-RU"/>
        </w:rPr>
        <w:t>Председател</w:t>
      </w:r>
      <w:proofErr w:type="spellEnd"/>
      <w:r w:rsidR="00A904F3">
        <w:rPr>
          <w:rStyle w:val="None"/>
          <w:rFonts w:ascii="Arial" w:hAnsi="Arial"/>
          <w:sz w:val="24"/>
          <w:szCs w:val="24"/>
          <w:lang w:val="ru-RU"/>
        </w:rPr>
        <w:t xml:space="preserve"> на СД, </w:t>
      </w:r>
      <w:proofErr w:type="spellStart"/>
      <w:r>
        <w:rPr>
          <w:rStyle w:val="None"/>
          <w:rFonts w:ascii="Arial" w:hAnsi="Arial"/>
          <w:sz w:val="24"/>
          <w:szCs w:val="24"/>
        </w:rPr>
        <w:t>притежава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чрез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„В</w:t>
      </w:r>
      <w:r w:rsidR="00C26A24">
        <w:rPr>
          <w:rStyle w:val="None"/>
          <w:rFonts w:ascii="Arial" w:hAnsi="Arial"/>
          <w:sz w:val="24"/>
          <w:szCs w:val="24"/>
          <w:lang w:val="bg-BG"/>
        </w:rPr>
        <w:t>ЕДЕЯ ИНВЕСТ</w:t>
      </w:r>
      <w:r>
        <w:rPr>
          <w:rStyle w:val="None"/>
          <w:rFonts w:ascii="Arial" w:hAnsi="Arial"/>
          <w:sz w:val="24"/>
          <w:szCs w:val="24"/>
        </w:rPr>
        <w:t xml:space="preserve">“ ЕООД </w:t>
      </w:r>
      <w:r w:rsidR="00A904F3">
        <w:rPr>
          <w:rStyle w:val="None"/>
          <w:rFonts w:ascii="Arial" w:hAnsi="Arial"/>
          <w:sz w:val="24"/>
          <w:szCs w:val="24"/>
        </w:rPr>
        <w:t>–</w:t>
      </w:r>
      <w:r>
        <w:rPr>
          <w:rStyle w:val="None"/>
          <w:rFonts w:ascii="Arial" w:hAnsi="Arial"/>
          <w:sz w:val="24"/>
          <w:szCs w:val="24"/>
        </w:rPr>
        <w:t xml:space="preserve"> 34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r>
        <w:rPr>
          <w:rStyle w:val="None"/>
          <w:rFonts w:ascii="Arial" w:hAnsi="Arial"/>
          <w:sz w:val="24"/>
          <w:szCs w:val="24"/>
        </w:rPr>
        <w:t xml:space="preserve">065 </w:t>
      </w:r>
      <w:proofErr w:type="spellStart"/>
      <w:r>
        <w:rPr>
          <w:rStyle w:val="None"/>
          <w:rFonts w:ascii="Arial" w:hAnsi="Arial"/>
          <w:sz w:val="24"/>
          <w:szCs w:val="24"/>
        </w:rPr>
        <w:t>бр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  <w:proofErr w:type="spellStart"/>
      <w:r>
        <w:rPr>
          <w:rStyle w:val="None"/>
          <w:rFonts w:ascii="Arial" w:hAnsi="Arial"/>
          <w:sz w:val="24"/>
          <w:szCs w:val="24"/>
        </w:rPr>
        <w:t>акции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7C374016" w14:textId="402C277E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Стефан Петков Лазаров – Зам. Председател на СД</w:t>
      </w:r>
      <w:r w:rsidR="00C26A24">
        <w:rPr>
          <w:rStyle w:val="None"/>
          <w:rFonts w:ascii="Arial" w:hAnsi="Arial"/>
          <w:sz w:val="24"/>
          <w:szCs w:val="24"/>
          <w:lang w:val="ru-RU"/>
        </w:rPr>
        <w:t xml:space="preserve"> и изп. директор</w:t>
      </w:r>
      <w:r>
        <w:rPr>
          <w:rStyle w:val="None"/>
          <w:rFonts w:ascii="Arial" w:hAnsi="Arial"/>
          <w:sz w:val="24"/>
          <w:szCs w:val="24"/>
          <w:lang w:val="ru-RU"/>
        </w:rPr>
        <w:t xml:space="preserve"> – 5838 броя акции.</w:t>
      </w:r>
    </w:p>
    <w:p w14:paraId="6EA29568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Марийка Симеонова Костадинова – Независим член на СД – 0 броя акции.</w:t>
      </w:r>
    </w:p>
    <w:p w14:paraId="6E4ABC1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- Людмил Малинов Еленков – Независим член на СД – 0 броя акции.</w:t>
      </w:r>
    </w:p>
    <w:p w14:paraId="286FC597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  <w:lang w:val="ru-RU"/>
        </w:rPr>
      </w:pPr>
    </w:p>
    <w:p w14:paraId="4CDA4612" w14:textId="70A0C2F6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hAnsi="Arial"/>
          <w:sz w:val="24"/>
          <w:szCs w:val="24"/>
          <w:lang w:val="ru-RU"/>
        </w:rPr>
        <w:t xml:space="preserve">ХД </w:t>
      </w:r>
      <w:r>
        <w:rPr>
          <w:rStyle w:val="None"/>
          <w:rFonts w:ascii="Arial" w:hAnsi="Arial"/>
          <w:sz w:val="24"/>
          <w:szCs w:val="24"/>
        </w:rPr>
        <w:t xml:space="preserve">„ДУНАВ“ АД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10.01.2022 г.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</w:t>
      </w:r>
      <w:r w:rsidR="00A904F3">
        <w:rPr>
          <w:rStyle w:val="None"/>
          <w:rFonts w:ascii="Arial" w:hAnsi="Arial"/>
          <w:sz w:val="24"/>
          <w:szCs w:val="24"/>
        </w:rPr>
        <w:br/>
      </w:r>
      <w:r>
        <w:rPr>
          <w:rStyle w:val="None"/>
          <w:rFonts w:ascii="Arial" w:hAnsi="Arial"/>
          <w:sz w:val="24"/>
          <w:szCs w:val="24"/>
        </w:rPr>
        <w:t xml:space="preserve">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Петрин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Кръстев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Стоянов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  <w:r w:rsidR="00AD5E90">
        <w:rPr>
          <w:rStyle w:val="None"/>
          <w:rFonts w:ascii="Arial" w:hAnsi="Arial"/>
          <w:sz w:val="24"/>
          <w:szCs w:val="24"/>
          <w:lang w:val="bg-BG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11.01.2022 г. е </w:t>
      </w:r>
      <w:proofErr w:type="spellStart"/>
      <w:r>
        <w:rPr>
          <w:rStyle w:val="None"/>
          <w:rFonts w:ascii="Arial" w:hAnsi="Arial"/>
          <w:sz w:val="24"/>
          <w:szCs w:val="24"/>
        </w:rPr>
        <w:t>вписан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Веселинов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3CDF809D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6CBF059D" w14:textId="6555DE1A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19.01.2022 г.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дружеството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Изпълнителен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Петков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заедно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поотделно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 </w:t>
      </w:r>
      <w:proofErr w:type="spellStart"/>
      <w:r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и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Прокуриста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47220879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77475982" w14:textId="043A2ECC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24.03.2022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е с </w:t>
      </w:r>
      <w:proofErr w:type="spellStart"/>
      <w:r>
        <w:rPr>
          <w:rStyle w:val="None"/>
          <w:rFonts w:ascii="Arial" w:hAnsi="Arial"/>
          <w:sz w:val="24"/>
          <w:szCs w:val="24"/>
        </w:rPr>
        <w:t>нов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състав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членове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Съвета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директорите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: 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,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>
        <w:rPr>
          <w:rStyle w:val="None"/>
          <w:rFonts w:ascii="Arial" w:hAnsi="Arial"/>
          <w:sz w:val="24"/>
          <w:szCs w:val="24"/>
        </w:rPr>
        <w:t>, г-</w:t>
      </w:r>
      <w:proofErr w:type="spellStart"/>
      <w:r>
        <w:rPr>
          <w:rStyle w:val="None"/>
          <w:rFonts w:ascii="Arial" w:hAnsi="Arial"/>
          <w:sz w:val="24"/>
          <w:szCs w:val="24"/>
        </w:rPr>
        <w:t>жа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Марийка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Костадинова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и г-н </w:t>
      </w:r>
      <w:proofErr w:type="spellStart"/>
      <w:r>
        <w:rPr>
          <w:rStyle w:val="None"/>
          <w:rFonts w:ascii="Arial" w:hAnsi="Arial"/>
          <w:sz w:val="24"/>
          <w:szCs w:val="24"/>
        </w:rPr>
        <w:t>Людмил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Еленков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proofErr w:type="spellStart"/>
      <w:r>
        <w:rPr>
          <w:rStyle w:val="None"/>
          <w:rFonts w:ascii="Arial" w:hAnsi="Arial"/>
          <w:sz w:val="24"/>
          <w:szCs w:val="24"/>
        </w:rPr>
        <w:t>независим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член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СД.</w:t>
      </w:r>
    </w:p>
    <w:p w14:paraId="0079F8D8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741CBA3" w14:textId="7FABE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28.03.2022 г. е </w:t>
      </w:r>
      <w:proofErr w:type="spellStart"/>
      <w:r>
        <w:rPr>
          <w:rStyle w:val="None"/>
          <w:rFonts w:ascii="Arial" w:hAnsi="Arial"/>
          <w:sz w:val="24"/>
          <w:szCs w:val="24"/>
        </w:rPr>
        <w:t>заличена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прокурата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г-н Петър Аврамов.</w:t>
      </w:r>
    </w:p>
    <w:p w14:paraId="211FA180" w14:textId="77777777" w:rsidR="00AD5E90" w:rsidRDefault="00AD5E90">
      <w:pPr>
        <w:pStyle w:val="10"/>
        <w:tabs>
          <w:tab w:val="left" w:pos="4536"/>
        </w:tabs>
        <w:jc w:val="both"/>
        <w:rPr>
          <w:rStyle w:val="None"/>
          <w:rFonts w:ascii="Arial" w:hAnsi="Arial"/>
          <w:sz w:val="24"/>
          <w:szCs w:val="24"/>
        </w:rPr>
      </w:pPr>
    </w:p>
    <w:p w14:paraId="022DE5FD" w14:textId="624C387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06.04.2022 г. ХД „</w:t>
      </w:r>
      <w:proofErr w:type="gramStart"/>
      <w:r>
        <w:rPr>
          <w:rStyle w:val="None"/>
          <w:rFonts w:ascii="Arial" w:hAnsi="Arial"/>
          <w:sz w:val="24"/>
          <w:szCs w:val="24"/>
        </w:rPr>
        <w:t>ДУНАВ“ АД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се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управлява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представлява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Изпълнителния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директор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– </w:t>
      </w:r>
      <w:r w:rsidR="00A904F3">
        <w:rPr>
          <w:rStyle w:val="None"/>
          <w:rFonts w:ascii="Arial" w:hAnsi="Arial"/>
          <w:sz w:val="24"/>
          <w:szCs w:val="24"/>
          <w:lang w:val="bg-BG"/>
        </w:rPr>
        <w:t xml:space="preserve">г-н </w:t>
      </w:r>
      <w:proofErr w:type="spellStart"/>
      <w:r>
        <w:rPr>
          <w:rStyle w:val="None"/>
          <w:rFonts w:ascii="Arial" w:hAnsi="Arial"/>
          <w:sz w:val="24"/>
          <w:szCs w:val="24"/>
        </w:rPr>
        <w:t>Стефан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Лазаров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r w:rsidR="005D4A37">
        <w:rPr>
          <w:rStyle w:val="None"/>
          <w:rFonts w:ascii="Arial" w:hAnsi="Arial"/>
          <w:sz w:val="24"/>
          <w:szCs w:val="24"/>
          <w:lang w:val="bg-BG"/>
        </w:rPr>
        <w:t xml:space="preserve">от </w:t>
      </w:r>
      <w:proofErr w:type="spellStart"/>
      <w:r>
        <w:rPr>
          <w:rStyle w:val="None"/>
          <w:rFonts w:ascii="Arial" w:hAnsi="Arial"/>
          <w:sz w:val="24"/>
          <w:szCs w:val="24"/>
        </w:rPr>
        <w:t>Председателя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СД – г-н </w:t>
      </w:r>
      <w:proofErr w:type="spellStart"/>
      <w:r>
        <w:rPr>
          <w:rStyle w:val="None"/>
          <w:rFonts w:ascii="Arial" w:hAnsi="Arial"/>
          <w:sz w:val="24"/>
          <w:szCs w:val="24"/>
        </w:rPr>
        <w:t>Петър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Аврамов</w:t>
      </w:r>
      <w:proofErr w:type="spellEnd"/>
      <w:r w:rsidR="005D4A37">
        <w:rPr>
          <w:rStyle w:val="None"/>
          <w:rFonts w:ascii="Arial" w:hAnsi="Arial"/>
          <w:sz w:val="24"/>
          <w:szCs w:val="24"/>
          <w:lang w:val="bg-BG"/>
        </w:rPr>
        <w:t>,</w:t>
      </w:r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заедно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поотделно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</w:p>
    <w:p w14:paraId="35DCD01C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73289AA9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Ж.) Информация за висящи съдебни, административни или арбитражни производства, касаещи задължения или вземания в размер най-малко 10 на сто от собствения капитал на дружеството; ако общата стойност на задълженията  или вземанията на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АД по всички образувани производства надхвърля 10 на сто от собствения му капитал, се представя информация за всяко производство поотделно.</w:t>
      </w:r>
    </w:p>
    <w:p w14:paraId="77C24A17" w14:textId="2E71B0E1" w:rsidR="00EF3CDE" w:rsidRDefault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  <w:r>
        <w:rPr>
          <w:rStyle w:val="None"/>
          <w:rFonts w:ascii="Arial" w:hAnsi="Arial"/>
          <w:sz w:val="24"/>
          <w:szCs w:val="24"/>
          <w:lang w:val="ru-RU"/>
        </w:rPr>
        <w:t>Н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яма такива</w:t>
      </w:r>
    </w:p>
    <w:p w14:paraId="73A14891" w14:textId="77777777" w:rsidR="00EF3CDE" w:rsidRDefault="00EF3CDE">
      <w:pPr>
        <w:pStyle w:val="10"/>
        <w:tabs>
          <w:tab w:val="left" w:pos="4536"/>
        </w:tabs>
        <w:ind w:firstLine="851"/>
        <w:jc w:val="both"/>
        <w:rPr>
          <w:rStyle w:val="None"/>
          <w:rFonts w:ascii="Arial" w:eastAsia="Arial" w:hAnsi="Arial" w:cs="Arial"/>
          <w:sz w:val="24"/>
          <w:szCs w:val="24"/>
          <w:lang w:val="ru-RU"/>
        </w:rPr>
      </w:pPr>
    </w:p>
    <w:p w14:paraId="0D69D864" w14:textId="77777777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b/>
          <w:bCs/>
          <w:sz w:val="24"/>
          <w:szCs w:val="24"/>
          <w:lang w:val="ru-RU"/>
        </w:rPr>
      </w:pP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З.) Информация за отпуснатите от ХД </w:t>
      </w:r>
      <w:r>
        <w:rPr>
          <w:rStyle w:val="None"/>
          <w:rFonts w:ascii="Arial" w:hAnsi="Arial"/>
          <w:b/>
          <w:bCs/>
          <w:sz w:val="24"/>
          <w:szCs w:val="24"/>
        </w:rPr>
        <w:t>„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>ДУНАВ</w:t>
      </w:r>
      <w:r>
        <w:rPr>
          <w:rStyle w:val="None"/>
          <w:rFonts w:ascii="Arial" w:hAnsi="Arial"/>
          <w:b/>
          <w:bCs/>
          <w:sz w:val="24"/>
          <w:szCs w:val="24"/>
        </w:rPr>
        <w:t xml:space="preserve">“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t xml:space="preserve">АД – гр. Враца или  от негово дъщерно дружество, или от техни дъщерни дружества заеми, предоставените обезпечения или поетите задължения общо към едно лице или негово дъщерно дружество, в това число и на свързани лица с посочване на имена или наименование и ЕИК на лицето, характера на </w:t>
      </w:r>
      <w:r>
        <w:rPr>
          <w:rStyle w:val="None"/>
          <w:rFonts w:ascii="Arial" w:hAnsi="Arial"/>
          <w:b/>
          <w:bCs/>
          <w:sz w:val="24"/>
          <w:szCs w:val="24"/>
          <w:lang w:val="ru-RU"/>
        </w:rPr>
        <w:lastRenderedPageBreak/>
        <w:t>взаимоотношенията между дружеството или неговите дъщерни дружества и лицето заемополучател, размер на неизплатената главница, лихвен процент, дата на сключване на договора, включително допълнителни споразумения, краен срок на погасяване, размер на поето задължение, специфични условия, различни от посочените в тази разпоредба, както и целта, за която са отпуснати, в случай че са сключени като целеви.</w:t>
      </w:r>
    </w:p>
    <w:p w14:paraId="309F3598" w14:textId="174324EB" w:rsidR="00EF3CDE" w:rsidRDefault="00932268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proofErr w:type="spellStart"/>
      <w:r>
        <w:rPr>
          <w:rStyle w:val="None"/>
          <w:rFonts w:ascii="Arial" w:hAnsi="Arial"/>
          <w:sz w:val="24"/>
          <w:szCs w:val="24"/>
        </w:rPr>
        <w:t>Към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края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отчетния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период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gramStart"/>
      <w:r>
        <w:rPr>
          <w:rStyle w:val="None"/>
          <w:rFonts w:ascii="Arial" w:hAnsi="Arial"/>
          <w:sz w:val="24"/>
          <w:szCs w:val="24"/>
        </w:rPr>
        <w:t>ХД ”ДУНАВ</w:t>
      </w:r>
      <w:proofErr w:type="gramEnd"/>
      <w:r>
        <w:rPr>
          <w:rStyle w:val="None"/>
          <w:rFonts w:ascii="Arial" w:hAnsi="Arial"/>
          <w:sz w:val="24"/>
          <w:szCs w:val="24"/>
        </w:rPr>
        <w:t xml:space="preserve">” АД – </w:t>
      </w:r>
      <w:proofErr w:type="spellStart"/>
      <w:r>
        <w:rPr>
          <w:rStyle w:val="None"/>
          <w:rFonts w:ascii="Arial" w:hAnsi="Arial"/>
          <w:sz w:val="24"/>
          <w:szCs w:val="24"/>
        </w:rPr>
        <w:t>гр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. </w:t>
      </w:r>
      <w:proofErr w:type="spellStart"/>
      <w:r>
        <w:rPr>
          <w:rStyle w:val="None"/>
          <w:rFonts w:ascii="Arial" w:hAnsi="Arial"/>
          <w:sz w:val="24"/>
          <w:szCs w:val="24"/>
        </w:rPr>
        <w:t>Враца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няма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предоставен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заем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не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е </w:t>
      </w:r>
      <w:proofErr w:type="spellStart"/>
      <w:r>
        <w:rPr>
          <w:rStyle w:val="None"/>
          <w:rFonts w:ascii="Arial" w:hAnsi="Arial"/>
          <w:sz w:val="24"/>
          <w:szCs w:val="24"/>
        </w:rPr>
        <w:t>получавало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такива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от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дружествата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и </w:t>
      </w:r>
      <w:proofErr w:type="spellStart"/>
      <w:r>
        <w:rPr>
          <w:rStyle w:val="None"/>
          <w:rFonts w:ascii="Arial" w:hAnsi="Arial"/>
          <w:sz w:val="24"/>
          <w:szCs w:val="24"/>
        </w:rPr>
        <w:t>финансовите</w:t>
      </w:r>
      <w:proofErr w:type="spellEnd"/>
      <w:r>
        <w:rPr>
          <w:rStyle w:val="None"/>
          <w:rFonts w:ascii="Arial" w:hAnsi="Arial"/>
          <w:sz w:val="24"/>
          <w:szCs w:val="24"/>
        </w:rPr>
        <w:t xml:space="preserve"> </w:t>
      </w:r>
      <w:proofErr w:type="spellStart"/>
      <w:r>
        <w:rPr>
          <w:rStyle w:val="None"/>
          <w:rFonts w:ascii="Arial" w:hAnsi="Arial"/>
          <w:sz w:val="24"/>
          <w:szCs w:val="24"/>
        </w:rPr>
        <w:t>институции</w:t>
      </w:r>
      <w:proofErr w:type="spellEnd"/>
      <w:r>
        <w:rPr>
          <w:rStyle w:val="None"/>
          <w:rFonts w:ascii="Arial" w:hAnsi="Arial"/>
          <w:sz w:val="24"/>
          <w:szCs w:val="24"/>
        </w:rPr>
        <w:t>.</w:t>
      </w:r>
    </w:p>
    <w:p w14:paraId="66D7C3B6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7E7BFF7F" w14:textId="77777777" w:rsidR="00EF3CDE" w:rsidRDefault="00EF3CDE" w:rsidP="005D4A37">
      <w:pPr>
        <w:pStyle w:val="10"/>
        <w:tabs>
          <w:tab w:val="left" w:pos="4536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</w:p>
    <w:p w14:paraId="27732D94" w14:textId="57436654" w:rsidR="00EF3CDE" w:rsidRDefault="005D4A37" w:rsidP="005D4A37">
      <w:pPr>
        <w:pStyle w:val="10"/>
        <w:tabs>
          <w:tab w:val="left" w:pos="4125"/>
        </w:tabs>
        <w:jc w:val="both"/>
        <w:rPr>
          <w:rStyle w:val="None"/>
          <w:rFonts w:ascii="Arial" w:eastAsia="Arial" w:hAnsi="Arial" w:cs="Arial"/>
          <w:sz w:val="24"/>
          <w:szCs w:val="24"/>
        </w:rPr>
      </w:pP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</w:rPr>
        <w:tab/>
      </w:r>
      <w:r>
        <w:rPr>
          <w:rStyle w:val="None"/>
          <w:rFonts w:ascii="Arial" w:eastAsia="Arial" w:hAnsi="Arial" w:cs="Arial"/>
          <w:sz w:val="24"/>
          <w:szCs w:val="24"/>
          <w:lang w:val="bg-BG"/>
        </w:rPr>
        <w:t xml:space="preserve">    </w:t>
      </w:r>
      <w:r w:rsidR="00932268">
        <w:rPr>
          <w:rStyle w:val="None"/>
          <w:rFonts w:ascii="Arial" w:hAnsi="Arial"/>
          <w:sz w:val="24"/>
          <w:szCs w:val="24"/>
          <w:lang w:val="ru-RU"/>
        </w:rPr>
        <w:t>С УВАЖЕНИЕ:</w:t>
      </w:r>
    </w:p>
    <w:p w14:paraId="6D8D9F1D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184E4B05" w14:textId="0072B8AF" w:rsidR="005D4A37" w:rsidRDefault="005D4A37">
      <w:pPr>
        <w:pStyle w:val="21"/>
        <w:rPr>
          <w:rStyle w:val="None"/>
          <w:rFonts w:ascii="Arial" w:hAnsi="Arial"/>
        </w:rPr>
      </w:pPr>
      <w:r>
        <w:rPr>
          <w:rStyle w:val="None"/>
          <w:rFonts w:ascii="Arial" w:hAnsi="Arial"/>
        </w:rPr>
        <w:tab/>
      </w:r>
      <w:r w:rsidR="00932268">
        <w:rPr>
          <w:rStyle w:val="None"/>
          <w:rFonts w:ascii="Arial" w:hAnsi="Arial"/>
        </w:rPr>
        <w:t>ИЗП. ДИРЕКТОР:</w:t>
      </w:r>
      <w:r>
        <w:rPr>
          <w:rStyle w:val="None"/>
          <w:rFonts w:ascii="Arial" w:hAnsi="Arial"/>
          <w:lang w:val="bg-BG"/>
        </w:rPr>
        <w:t xml:space="preserve"> ................................</w:t>
      </w:r>
    </w:p>
    <w:p w14:paraId="458E7CCC" w14:textId="77777777" w:rsidR="005D4A37" w:rsidRDefault="005D4A37">
      <w:pPr>
        <w:pStyle w:val="21"/>
        <w:rPr>
          <w:rStyle w:val="None"/>
          <w:rFonts w:ascii="Arial" w:hAnsi="Arial"/>
        </w:rPr>
      </w:pPr>
    </w:p>
    <w:p w14:paraId="08A847A8" w14:textId="75C19F12" w:rsidR="00EF3CDE" w:rsidRDefault="005D4A37">
      <w:pPr>
        <w:pStyle w:val="21"/>
      </w:pPr>
      <w:bookmarkStart w:id="0" w:name="_GoBack"/>
      <w:bookmarkEnd w:id="0"/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</w:rPr>
        <w:tab/>
      </w:r>
      <w:r>
        <w:rPr>
          <w:rStyle w:val="None"/>
          <w:rFonts w:ascii="Arial" w:hAnsi="Arial"/>
          <w:lang w:val="bg-BG"/>
        </w:rPr>
        <w:t xml:space="preserve">    </w:t>
      </w:r>
      <w:r w:rsidR="00932268">
        <w:rPr>
          <w:rStyle w:val="None"/>
          <w:rFonts w:ascii="Arial" w:hAnsi="Arial"/>
          <w:lang w:val="ru-RU"/>
        </w:rPr>
        <w:t>/Стефан Лазаров/</w:t>
      </w:r>
    </w:p>
    <w:sectPr w:rsidR="00EF3CDE">
      <w:headerReference w:type="default" r:id="rId7"/>
      <w:footerReference w:type="default" r:id="rId8"/>
      <w:pgSz w:w="11900" w:h="16840"/>
      <w:pgMar w:top="899" w:right="992" w:bottom="1134" w:left="1797" w:header="51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198C7" w14:textId="77777777" w:rsidR="007A5E83" w:rsidRDefault="007A5E83">
      <w:r>
        <w:separator/>
      </w:r>
    </w:p>
  </w:endnote>
  <w:endnote w:type="continuationSeparator" w:id="0">
    <w:p w14:paraId="09B90EF4" w14:textId="77777777" w:rsidR="007A5E83" w:rsidRDefault="007A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6D7DB" w14:textId="4EEF26FA" w:rsidR="00EF3CDE" w:rsidRDefault="00932268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3530F0">
      <w:rPr>
        <w:noProof/>
      </w:rPr>
      <w:t>3</w:t>
    </w:r>
    <w:r>
      <w:fldChar w:fldCharType="end"/>
    </w:r>
  </w:p>
  <w:p w14:paraId="6323B2FD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  <w:rPr>
        <w:rStyle w:val="None"/>
      </w:rPr>
    </w:pPr>
    <w:r>
      <w:t xml:space="preserve">3000 </w:t>
    </w:r>
    <w:proofErr w:type="spellStart"/>
    <w:r>
      <w:t>Враца</w:t>
    </w:r>
    <w:proofErr w:type="spellEnd"/>
    <w:r>
      <w:t xml:space="preserve"> </w:t>
    </w:r>
    <w:proofErr w:type="spellStart"/>
    <w:r>
      <w:t>ул.Стоян</w:t>
    </w:r>
    <w:proofErr w:type="spellEnd"/>
    <w:r>
      <w:t xml:space="preserve"> Кялъчев”№6, п.к.31,тел:092/62-74-15,е-mail: </w:t>
    </w:r>
    <w:hyperlink r:id="rId1" w:history="1">
      <w:r>
        <w:rPr>
          <w:rStyle w:val="Hyperlink0"/>
        </w:rPr>
        <w:t>dunav_vraca@abv.bg</w:t>
      </w:r>
    </w:hyperlink>
  </w:p>
  <w:p w14:paraId="6B968A38" w14:textId="77777777" w:rsidR="00EF3CDE" w:rsidRDefault="00932268">
    <w:pPr>
      <w:pStyle w:val="1"/>
      <w:tabs>
        <w:tab w:val="clear" w:pos="4320"/>
        <w:tab w:val="clear" w:pos="8640"/>
        <w:tab w:val="center" w:pos="1661"/>
        <w:tab w:val="right" w:pos="1891"/>
      </w:tabs>
      <w:ind w:right="360"/>
      <w:jc w:val="center"/>
    </w:pPr>
    <w:r>
      <w:rPr>
        <w:rStyle w:val="None"/>
      </w:rPr>
      <w:t>www.holding-dunav.com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A02ED" w14:textId="77777777" w:rsidR="007A5E83" w:rsidRDefault="007A5E83">
      <w:r>
        <w:separator/>
      </w:r>
    </w:p>
  </w:footnote>
  <w:footnote w:type="continuationSeparator" w:id="0">
    <w:p w14:paraId="619D5EE3" w14:textId="77777777" w:rsidR="007A5E83" w:rsidRDefault="007A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15C9A" w14:textId="77777777" w:rsidR="00EF3CDE" w:rsidRDefault="00EF3CD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E"/>
    <w:rsid w:val="000025F2"/>
    <w:rsid w:val="00211F3B"/>
    <w:rsid w:val="00241830"/>
    <w:rsid w:val="003530F0"/>
    <w:rsid w:val="005D4A37"/>
    <w:rsid w:val="00636F9D"/>
    <w:rsid w:val="006462E5"/>
    <w:rsid w:val="007A5E83"/>
    <w:rsid w:val="0086464C"/>
    <w:rsid w:val="00932268"/>
    <w:rsid w:val="00A36303"/>
    <w:rsid w:val="00A904F3"/>
    <w:rsid w:val="00AD5E90"/>
    <w:rsid w:val="00C26A24"/>
    <w:rsid w:val="00CF7D85"/>
    <w:rsid w:val="00EF3CDE"/>
    <w:rsid w:val="00F43355"/>
    <w:rsid w:val="00F974CD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AC73"/>
  <w15:docId w15:val="{96BDA09F-E179-441D-AB39-374BE6B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Долен колонтитул1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none" w:color="0000FF"/>
      <w:lang w:val="en-US"/>
    </w:rPr>
  </w:style>
  <w:style w:type="paragraph" w:customStyle="1" w:styleId="10">
    <w:name w:val="Нормален1"/>
    <w:rPr>
      <w:rFonts w:eastAsia="Times New Roman"/>
      <w:color w:val="000000"/>
      <w:u w:color="000000"/>
      <w:lang w:val="en-US"/>
    </w:rPr>
  </w:style>
  <w:style w:type="paragraph" w:customStyle="1" w:styleId="21">
    <w:name w:val="Заглавие 21"/>
    <w:next w:val="10"/>
    <w:pPr>
      <w:keepNext/>
      <w:tabs>
        <w:tab w:val="left" w:pos="4536"/>
      </w:tabs>
      <w:jc w:val="both"/>
      <w:outlineLvl w:val="1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11">
    <w:name w:val="Основен текст с отстъп1"/>
    <w:rsid w:val="00636F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hAnsi="Arial" w:cs="Arial Unicode MS"/>
      <w:color w:val="000000"/>
      <w:sz w:val="28"/>
      <w:szCs w:val="28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unav_vraca@abv.b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Ixbqf4D0EhBoOBBWezHlgy8Esb5Pslp9x5NeoJ8kP24=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eoc3yqMt5LFeJV83BJBg5zfc31Vla/5fylZ5sV91P4M=</DigestValue>
    </Reference>
  </SignedInfo>
  <SignatureValue>jKOWe6knCgNmLx9BIYme8XMSPmsWE1l17vvQX88E66xiz6bYc/FXdqagL5dgCMjlDAovR0qBMI9D
ZW+WSUfL2++hSwRO9KgIX8OfwhFwUhRig+sveqBiAjL6Si51CFrBAVYOGnv9cCQvUkfmAstvfdg8
ylG7b9iKYfsytlPZQHqRQ4FZffYXw4swz21va27R7Aizc1zKfDUTNKD00qdsRuv//7YPPqjdldZM
vz4Zhe1W2EvSo83tPmhz5SFsTp3MPUBwiz2GTjHJUttHCpgeMK/J+rOs3rMa/2poiYKF/qI5YG2b
ckMdNuDLclEm7vC2nULC6281cnr4xsQKlWQE8w==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TEyMjkxMzQ2MDdaFw0yMjEyMjkxMzQ2MDd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m9Sze4kJaKOBMxAy+c40u9ycYd4S46Pye1cCnIXZdXQ=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PI9rn4iJwegK8wgfsfu0giKWK4PFSVQGA0ZFhgYBS4k=</DigestValue>
      </Reference>
      <Reference URI="/word/document.xml?ContentType=application/vnd.openxmlformats-officedocument.wordprocessingml.document.main+xml">
        <DigestMethod Algorithm="http://www.w3.org/2001/04/xmlenc#sha256"/>
        <DigestValue>9TaDCn+i3oa7Xt8WGvb2cGNT2C9ukVSKuUVkgNdiZdU=</DigestValue>
      </Reference>
      <Reference URI="/word/endnotes.xml?ContentType=application/vnd.openxmlformats-officedocument.wordprocessingml.endnotes+xml">
        <DigestMethod Algorithm="http://www.w3.org/2001/04/xmlenc#sha256"/>
        <DigestValue>Her2Jwb/SAjg+L1mMgGEDlqr3uR5O/r33XnLqibcsn8=</DigestValue>
      </Reference>
      <Reference URI="/word/fontTable.xml?ContentType=application/vnd.openxmlformats-officedocument.wordprocessingml.fontTable+xml">
        <DigestMethod Algorithm="http://www.w3.org/2001/04/xmlenc#sha256"/>
        <DigestValue>m1zNw3lYHBhBbGTn7qVOM68LJf+ac2L80DxtRBSmDCU=</DigestValue>
      </Reference>
      <Reference URI="/word/footer1.xml?ContentType=application/vnd.openxmlformats-officedocument.wordprocessingml.footer+xml">
        <DigestMethod Algorithm="http://www.w3.org/2001/04/xmlenc#sha256"/>
        <DigestValue>WIbufgagCS8yXHX9gwqVDuTl2OEMLJrq58jAMG3mF8c=</DigestValue>
      </Reference>
      <Reference URI="/word/footnotes.xml?ContentType=application/vnd.openxmlformats-officedocument.wordprocessingml.footnotes+xml">
        <DigestMethod Algorithm="http://www.w3.org/2001/04/xmlenc#sha256"/>
        <DigestValue>+VL9ob0r5rvGZpC2zEZ7q920b7ouId5D9Eh7vnfeocY=</DigestValue>
      </Reference>
      <Reference URI="/word/header1.xml?ContentType=application/vnd.openxmlformats-officedocument.wordprocessingml.header+xml">
        <DigestMethod Algorithm="http://www.w3.org/2001/04/xmlenc#sha256"/>
        <DigestValue>Clf8axKvBWHHfpk94tuGyOZv2+54vJzuCekp0Naw84k=</DigestValue>
      </Reference>
      <Reference URI="/word/media/image1.png?ContentType=image/png">
        <DigestMethod Algorithm="http://www.w3.org/2001/04/xmlenc#sha256"/>
        <DigestValue>4HiI3I02sI1DbGHx4b02djMxEabBIdMKmxPUhgbaDCk=</DigestValue>
      </Reference>
      <Reference URI="/word/settings.xml?ContentType=application/vnd.openxmlformats-officedocument.wordprocessingml.settings+xml">
        <DigestMethod Algorithm="http://www.w3.org/2001/04/xmlenc#sha256"/>
        <DigestValue>KhhtubGGcmd+YGfUpRIxlmemPhgPdg5VpFQat6fLpMs=</DigestValue>
      </Reference>
      <Reference URI="/word/styles.xml?ContentType=application/vnd.openxmlformats-officedocument.wordprocessingml.styles+xml">
        <DigestMethod Algorithm="http://www.w3.org/2001/04/xmlenc#sha256"/>
        <DigestValue>jv8uFL8NbwTJMtBZBTqOjB0viqLgmPopeEj3i36MGdc=</DigestValue>
      </Reference>
      <Reference URI="/word/theme/theme1.xml?ContentType=application/vnd.openxmlformats-officedocument.theme+xml">
        <DigestMethod Algorithm="http://www.w3.org/2001/04/xmlenc#sha256"/>
        <DigestValue>nCSG3dG8oOqR4scbkiofpWf760K51CZ7/wW+gskXEVk=</DigestValue>
      </Reference>
      <Reference URI="/word/webSettings.xml?ContentType=application/vnd.openxmlformats-officedocument.wordprocessingml.webSettings+xml">
        <DigestMethod Algorithm="http://www.w3.org/2001/04/xmlenc#sha256"/>
        <DigestValue>mjg4OrORvqMHXIDzFf6TEs8R8e0KjBAgFW1YdSeJrGk=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2022-10-28T13:01:41Z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2022-10-28T13:01:41Z</xd:SigningTime>
          <xd:SigningCertificate>
            <xd:Cert>
              <xd:CertDigest>
                <DigestMethod Algorithm="http://www.w3.org/2001/04/xmlenc#sha256"/>
                <DigestValue>/1djr1OAtK8KWzYJbdlsbbsNd+fsF0fhbvqrnf5u10k=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Computer</cp:lastModifiedBy>
  <cp:revision>3</cp:revision>
  <dcterms:created xsi:type="dcterms:W3CDTF">2022-07-28T10:17:00Z</dcterms:created>
  <dcterms:modified xsi:type="dcterms:W3CDTF">2022-10-12T10:54:00Z</dcterms:modified>
</cp:coreProperties>
</file>