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7893" w14:textId="77777777" w:rsidR="005C0777" w:rsidRDefault="00264E5E" w:rsidP="003C5AD4">
      <w:pPr>
        <w:pStyle w:val="10"/>
        <w:ind w:left="4956"/>
        <w:rPr>
          <w:rStyle w:val="None"/>
          <w:rFonts w:ascii="Arial" w:hAnsi="Arial"/>
          <w:b/>
          <w:bCs/>
          <w:sz w:val="20"/>
          <w:szCs w:val="20"/>
        </w:rPr>
      </w:pPr>
      <w:r>
        <w:rPr>
          <w:noProof/>
          <w:lang w:val="bg-BG" w:eastAsia="bg-BG"/>
        </w:rPr>
        <w:drawing>
          <wp:anchor distT="0" distB="0" distL="114300" distR="114300" simplePos="0" relativeHeight="251658240" behindDoc="0" locked="0" layoutInCell="1" allowOverlap="1" wp14:anchorId="7FAEB1EF" wp14:editId="4B24D1AB">
            <wp:simplePos x="0" y="0"/>
            <wp:positionH relativeFrom="margin">
              <wp:posOffset>0</wp:posOffset>
            </wp:positionH>
            <wp:positionV relativeFrom="paragraph">
              <wp:posOffset>0</wp:posOffset>
            </wp:positionV>
            <wp:extent cx="5656580" cy="1409700"/>
            <wp:effectExtent l="0" t="0" r="1270" b="0"/>
            <wp:wrapSquare wrapText="bothSides"/>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6580" cy="1409700"/>
                    </a:xfrm>
                    <a:prstGeom prst="rect">
                      <a:avLst/>
                    </a:prstGeom>
                    <a:ln w="12700" cap="flat">
                      <a:noFill/>
                      <a:miter lim="400000"/>
                    </a:ln>
                    <a:effectLst/>
                  </pic:spPr>
                </pic:pic>
              </a:graphicData>
            </a:graphic>
            <wp14:sizeRelV relativeFrom="margin">
              <wp14:pctHeight>0</wp14:pctHeight>
            </wp14:sizeRelV>
          </wp:anchor>
        </w:drawing>
      </w:r>
      <w:r w:rsidR="00E45A19">
        <w:rPr>
          <w:rStyle w:val="None"/>
          <w:rFonts w:ascii="Arial" w:eastAsia="Arial" w:hAnsi="Arial" w:cs="Arial"/>
        </w:rPr>
        <w:br w:type="textWrapping" w:clear="all"/>
      </w:r>
    </w:p>
    <w:p w14:paraId="4F641F5A" w14:textId="7836ABB7" w:rsidR="00D83B98" w:rsidRDefault="00264E5E" w:rsidP="003C5AD4">
      <w:pPr>
        <w:pStyle w:val="10"/>
        <w:ind w:left="4956"/>
        <w:rPr>
          <w:rStyle w:val="None"/>
          <w:rFonts w:ascii="Arial" w:hAnsi="Arial"/>
          <w:b/>
          <w:bCs/>
          <w:sz w:val="20"/>
          <w:szCs w:val="20"/>
        </w:rPr>
      </w:pPr>
      <w:r>
        <w:rPr>
          <w:rStyle w:val="None"/>
          <w:rFonts w:ascii="Arial" w:hAnsi="Arial"/>
          <w:b/>
          <w:bCs/>
          <w:sz w:val="20"/>
          <w:szCs w:val="20"/>
        </w:rPr>
        <w:t xml:space="preserve">Съгласно Приложение №4 към чл.12, ал.1, т.1 и чл. 14 от Наредба №2 първоначално и последващо разкриване на информация (ДВ.изм.бр.27/05.04.2022, в сила от 05.04.2022) </w:t>
      </w:r>
    </w:p>
    <w:p w14:paraId="0D445D6D" w14:textId="77777777" w:rsidR="005C0777" w:rsidRDefault="005C0777" w:rsidP="003C5AD4">
      <w:pPr>
        <w:pStyle w:val="10"/>
        <w:ind w:left="4956"/>
        <w:rPr>
          <w:rStyle w:val="None"/>
          <w:rFonts w:ascii="Arial" w:eastAsia="Arial" w:hAnsi="Arial" w:cs="Arial"/>
          <w:sz w:val="20"/>
          <w:szCs w:val="20"/>
        </w:rPr>
      </w:pPr>
    </w:p>
    <w:p w14:paraId="3C9A1E17" w14:textId="77777777" w:rsidR="00D83B98" w:rsidRDefault="00264E5E">
      <w:pPr>
        <w:pStyle w:val="10"/>
        <w:tabs>
          <w:tab w:val="left" w:pos="4140"/>
        </w:tabs>
        <w:ind w:firstLine="900"/>
        <w:jc w:val="center"/>
        <w:outlineLvl w:val="0"/>
        <w:rPr>
          <w:rStyle w:val="None"/>
          <w:rFonts w:ascii="Arial" w:eastAsia="Arial" w:hAnsi="Arial" w:cs="Arial"/>
          <w:sz w:val="20"/>
          <w:szCs w:val="20"/>
        </w:rPr>
      </w:pPr>
      <w:r>
        <w:rPr>
          <w:rStyle w:val="None"/>
          <w:rFonts w:ascii="Arial" w:eastAsia="Arial" w:hAnsi="Arial" w:cs="Arial"/>
          <w:b/>
          <w:bCs/>
          <w:noProof/>
          <w:sz w:val="20"/>
          <w:szCs w:val="20"/>
          <w:lang w:val="bg-BG" w:eastAsia="bg-BG"/>
        </w:rPr>
        <mc:AlternateContent>
          <mc:Choice Requires="wps">
            <w:drawing>
              <wp:inline distT="0" distB="0" distL="0" distR="0" wp14:anchorId="041B737B" wp14:editId="5B51A31F">
                <wp:extent cx="3165463" cy="485775"/>
                <wp:effectExtent l="0" t="0" r="0" b="9525"/>
                <wp:docPr id="1073741826" name="officeArt object" descr="Информация"/>
                <wp:cNvGraphicFramePr/>
                <a:graphic xmlns:a="http://schemas.openxmlformats.org/drawingml/2006/main">
                  <a:graphicData uri="http://schemas.microsoft.com/office/word/2010/wordprocessingShape">
                    <wps:wsp>
                      <wps:cNvSpPr txBox="1"/>
                      <wps:spPr>
                        <a:xfrm>
                          <a:off x="0" y="0"/>
                          <a:ext cx="3165463" cy="485775"/>
                        </a:xfrm>
                        <a:prstGeom prst="rect">
                          <a:avLst/>
                        </a:prstGeom>
                        <a:noFill/>
                        <a:ln w="12700" cap="flat">
                          <a:noFill/>
                          <a:miter lim="400000"/>
                        </a:ln>
                        <a:effectLst/>
                      </wps:spPr>
                      <wps:txbx>
                        <w:txbxContent>
                          <w:p w14:paraId="233B37A6" w14:textId="77777777" w:rsidR="00D83B98" w:rsidRDefault="00264E5E">
                            <w:pPr>
                              <w:pStyle w:val="a4"/>
                              <w:tabs>
                                <w:tab w:val="left" w:pos="1440"/>
                                <w:tab w:val="left" w:pos="2880"/>
                                <w:tab w:val="left" w:pos="4320"/>
                              </w:tabs>
                              <w:jc w:val="center"/>
                            </w:pPr>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
                        </w:txbxContent>
                      </wps:txbx>
                      <wps:bodyPr wrap="square" lIns="0" tIns="0" rIns="0" bIns="0" numCol="1" anchor="ctr">
                        <a:normAutofit/>
                      </wps:bodyPr>
                    </wps:wsp>
                  </a:graphicData>
                </a:graphic>
              </wp:inline>
            </w:drawing>
          </mc:Choice>
          <mc:Fallback>
            <w:pict>
              <v:shapetype w14:anchorId="041B737B" id="_x0000_t202" coordsize="21600,21600" o:spt="202" path="m,l,21600r21600,l21600,xe">
                <v:stroke joinstyle="miter"/>
                <v:path gradientshapeok="t" o:connecttype="rect"/>
              </v:shapetype>
              <v:shape id="officeArt object" o:spid="_x0000_s1026" type="#_x0000_t202" alt="Информация" style="width:249.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" filled="f" stroked="f" strokeweight="1pt">
                <v:stroke miterlimit="4"/>
                <v:textbox inset="0,0,0,0">
                  <w:txbxContent>
                    <w:p w14:paraId="233B37A6" w14:textId="77777777" w:rsidR="00D83B98" w:rsidRDefault="00264E5E">
                      <w:pPr>
                        <w:pStyle w:val="a4"/>
                        <w:tabs>
                          <w:tab w:val="left" w:pos="1440"/>
                          <w:tab w:val="left" w:pos="2880"/>
                          <w:tab w:val="left" w:pos="4320"/>
                        </w:tabs>
                        <w:jc w:val="center"/>
                      </w:pPr>
                      <w:proofErr w:type="spellStart"/>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roofErr w:type="spellEnd"/>
                    </w:p>
                  </w:txbxContent>
                </v:textbox>
                <w10:anchorlock/>
              </v:shape>
            </w:pict>
          </mc:Fallback>
        </mc:AlternateContent>
      </w:r>
    </w:p>
    <w:p w14:paraId="7F8131AB" w14:textId="77777777" w:rsidR="00D83B98" w:rsidRDefault="00264E5E">
      <w:pPr>
        <w:pStyle w:val="10"/>
        <w:tabs>
          <w:tab w:val="left" w:pos="4140"/>
        </w:tabs>
        <w:ind w:firstLine="900"/>
        <w:jc w:val="center"/>
        <w:outlineLvl w:val="0"/>
        <w:rPr>
          <w:rStyle w:val="None"/>
          <w:rFonts w:ascii="Arial" w:eastAsia="Arial" w:hAnsi="Arial" w:cs="Arial"/>
          <w:color w:val="0000FF"/>
          <w:u w:color="0000FF"/>
        </w:rPr>
      </w:pPr>
      <w:r>
        <w:rPr>
          <w:rStyle w:val="None"/>
          <w:rFonts w:ascii="Arial" w:hAnsi="Arial"/>
          <w:color w:val="0000FF"/>
          <w:u w:color="0000FF"/>
        </w:rPr>
        <w:t>относно обстоятелства, настъпили за периода</w:t>
      </w:r>
    </w:p>
    <w:p w14:paraId="1A5B5ABE" w14:textId="7B7FC304" w:rsidR="00D83B98" w:rsidRPr="0059790E" w:rsidRDefault="00264E5E">
      <w:pPr>
        <w:pStyle w:val="10"/>
        <w:tabs>
          <w:tab w:val="left" w:pos="4140"/>
          <w:tab w:val="center" w:pos="5220"/>
          <w:tab w:val="left" w:pos="7620"/>
        </w:tabs>
        <w:ind w:firstLine="900"/>
        <w:jc w:val="center"/>
        <w:outlineLvl w:val="0"/>
        <w:rPr>
          <w:rStyle w:val="None"/>
          <w:rFonts w:ascii="Arial" w:eastAsia="Arial" w:hAnsi="Arial" w:cs="Arial"/>
          <w:color w:val="0000FF"/>
          <w:u w:color="0000FF"/>
          <w:lang w:val="bg-BG"/>
        </w:rPr>
      </w:pPr>
      <w:r>
        <w:rPr>
          <w:rStyle w:val="None"/>
          <w:rFonts w:ascii="Arial" w:hAnsi="Arial"/>
          <w:color w:val="0000FF"/>
          <w:u w:color="0000FF"/>
        </w:rPr>
        <w:t>01.01.202</w:t>
      </w:r>
      <w:r w:rsidR="007E0B9E">
        <w:rPr>
          <w:rStyle w:val="None"/>
          <w:rFonts w:ascii="Arial" w:hAnsi="Arial"/>
          <w:color w:val="0000FF"/>
          <w:u w:color="0000FF"/>
        </w:rPr>
        <w:t>3</w:t>
      </w:r>
      <w:r>
        <w:rPr>
          <w:rStyle w:val="None"/>
          <w:rFonts w:ascii="Arial" w:hAnsi="Arial"/>
          <w:color w:val="0000FF"/>
          <w:u w:color="0000FF"/>
        </w:rPr>
        <w:t xml:space="preserve"> </w:t>
      </w:r>
      <w:r w:rsidR="00E01905">
        <w:rPr>
          <w:rStyle w:val="None"/>
          <w:rFonts w:ascii="Arial" w:hAnsi="Arial"/>
          <w:color w:val="0000FF"/>
          <w:u w:color="0000FF"/>
          <w:lang w:val="bg-BG"/>
        </w:rPr>
        <w:t xml:space="preserve">г. </w:t>
      </w:r>
      <w:r w:rsidR="0059790E">
        <w:rPr>
          <w:rStyle w:val="None"/>
          <w:rFonts w:ascii="Arial" w:hAnsi="Arial"/>
          <w:color w:val="0000FF"/>
          <w:u w:color="0000FF"/>
        </w:rPr>
        <w:t>- 3</w:t>
      </w:r>
      <w:r w:rsidR="00BD33B2">
        <w:rPr>
          <w:rStyle w:val="None"/>
          <w:rFonts w:ascii="Arial" w:hAnsi="Arial"/>
          <w:color w:val="0000FF"/>
          <w:u w:color="0000FF"/>
          <w:lang w:val="bg-BG"/>
        </w:rPr>
        <w:t>0</w:t>
      </w:r>
      <w:r>
        <w:rPr>
          <w:rStyle w:val="None"/>
          <w:rFonts w:ascii="Arial" w:hAnsi="Arial"/>
          <w:color w:val="0000FF"/>
          <w:u w:color="0000FF"/>
        </w:rPr>
        <w:t>.</w:t>
      </w:r>
      <w:r w:rsidR="007E0B9E">
        <w:rPr>
          <w:rStyle w:val="None"/>
          <w:rFonts w:ascii="Arial" w:hAnsi="Arial"/>
          <w:color w:val="0000FF"/>
          <w:u w:color="0000FF"/>
        </w:rPr>
        <w:t>0</w:t>
      </w:r>
      <w:r w:rsidR="00BD33B2">
        <w:rPr>
          <w:rStyle w:val="None"/>
          <w:rFonts w:ascii="Arial" w:hAnsi="Arial"/>
          <w:color w:val="0000FF"/>
          <w:u w:color="0000FF"/>
          <w:lang w:val="bg-BG"/>
        </w:rPr>
        <w:t>6</w:t>
      </w:r>
      <w:r>
        <w:rPr>
          <w:rStyle w:val="None"/>
          <w:rFonts w:ascii="Arial" w:hAnsi="Arial"/>
          <w:color w:val="0000FF"/>
          <w:u w:color="0000FF"/>
        </w:rPr>
        <w:t>.202</w:t>
      </w:r>
      <w:r w:rsidR="007E0B9E">
        <w:rPr>
          <w:rStyle w:val="None"/>
          <w:rFonts w:ascii="Arial" w:hAnsi="Arial"/>
          <w:color w:val="0000FF"/>
          <w:u w:color="0000FF"/>
        </w:rPr>
        <w:t>3</w:t>
      </w:r>
      <w:r>
        <w:rPr>
          <w:rStyle w:val="None"/>
          <w:rFonts w:ascii="Arial" w:hAnsi="Arial"/>
          <w:color w:val="0000FF"/>
          <w:u w:color="0000FF"/>
        </w:rPr>
        <w:t xml:space="preserve"> г.</w:t>
      </w:r>
    </w:p>
    <w:p w14:paraId="3DB4FAF9" w14:textId="18B9C7CA" w:rsidR="00D83B98" w:rsidRDefault="00D83B98">
      <w:pPr>
        <w:pStyle w:val="10"/>
        <w:tabs>
          <w:tab w:val="left" w:pos="4140"/>
        </w:tabs>
        <w:ind w:firstLine="900"/>
        <w:jc w:val="center"/>
        <w:outlineLvl w:val="0"/>
        <w:rPr>
          <w:rStyle w:val="None"/>
          <w:rFonts w:ascii="Arial" w:eastAsia="Arial" w:hAnsi="Arial" w:cs="Arial"/>
          <w:color w:val="0000FF"/>
          <w:sz w:val="22"/>
          <w:szCs w:val="22"/>
          <w:u w:color="0000FF"/>
        </w:rPr>
      </w:pPr>
    </w:p>
    <w:p w14:paraId="2A324582" w14:textId="77777777" w:rsidR="005C0777" w:rsidRPr="005C0777" w:rsidRDefault="005C0777">
      <w:pPr>
        <w:pStyle w:val="10"/>
        <w:tabs>
          <w:tab w:val="left" w:pos="4140"/>
        </w:tabs>
        <w:ind w:firstLine="900"/>
        <w:jc w:val="center"/>
        <w:outlineLvl w:val="0"/>
        <w:rPr>
          <w:rStyle w:val="None"/>
          <w:rFonts w:ascii="Arial" w:eastAsia="Arial" w:hAnsi="Arial" w:cs="Arial"/>
          <w:color w:val="0000FF"/>
          <w:sz w:val="22"/>
          <w:szCs w:val="22"/>
          <w:u w:color="0000FF"/>
        </w:rPr>
      </w:pPr>
    </w:p>
    <w:p w14:paraId="630CF507" w14:textId="0096CA5A" w:rsidR="00D83B98" w:rsidRPr="005C0777" w:rsidRDefault="00264E5E">
      <w:pPr>
        <w:pStyle w:val="10"/>
        <w:tabs>
          <w:tab w:val="left" w:pos="4140"/>
        </w:tabs>
        <w:jc w:val="both"/>
        <w:outlineLvl w:val="0"/>
        <w:rPr>
          <w:rStyle w:val="None"/>
          <w:rFonts w:ascii="Arial" w:eastAsia="Arial" w:hAnsi="Arial" w:cs="Arial"/>
          <w:b/>
          <w:bCs/>
          <w:sz w:val="22"/>
          <w:szCs w:val="22"/>
          <w:lang w:val="bg-BG"/>
        </w:rPr>
      </w:pPr>
      <w:r w:rsidRPr="005C0777">
        <w:rPr>
          <w:rStyle w:val="None"/>
          <w:rFonts w:ascii="Arial" w:hAnsi="Arial"/>
          <w:b/>
          <w:bCs/>
          <w:sz w:val="22"/>
          <w:szCs w:val="22"/>
        </w:rPr>
        <w:t>1. За емитента</w:t>
      </w:r>
      <w:r w:rsidR="00E01905" w:rsidRPr="005C0777">
        <w:rPr>
          <w:rStyle w:val="None"/>
          <w:rFonts w:ascii="Arial" w:hAnsi="Arial"/>
          <w:b/>
          <w:bCs/>
          <w:sz w:val="22"/>
          <w:szCs w:val="22"/>
          <w:lang w:val="bg-BG"/>
        </w:rPr>
        <w:t xml:space="preserve"> ХД „ДУНАВ“ АД (Дружеството):</w:t>
      </w:r>
    </w:p>
    <w:p w14:paraId="0320EDD4"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1.1. Промяна на лицата, упражняващи контрол върху дружеството</w:t>
      </w:r>
      <w:r w:rsidRPr="005C0777">
        <w:rPr>
          <w:rStyle w:val="None"/>
          <w:rFonts w:ascii="Arial" w:hAnsi="Arial"/>
          <w:sz w:val="22"/>
          <w:szCs w:val="22"/>
          <w:lang w:val="ru-RU"/>
        </w:rPr>
        <w:t>.</w:t>
      </w:r>
    </w:p>
    <w:p w14:paraId="2150A127"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2D4325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1.2. Откриване на производство по несъстоятелност за дружеството или за негово дъщерно дружество и всички етапи, свързани с производството.</w:t>
      </w:r>
    </w:p>
    <w:p w14:paraId="03FF58F6"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0475B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1.3. Сключване или изменение на съществени сделки.</w:t>
      </w:r>
    </w:p>
    <w:p w14:paraId="2425991F"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516FFC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1.4. Решение за сключване, прекратяване и разваляне на договор за съвместно предприятие.</w:t>
      </w:r>
    </w:p>
    <w:p w14:paraId="5033A3FC"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6826D1D6"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1.5. Промяна на одиторите на дружеството и причини за промяната.</w:t>
      </w:r>
    </w:p>
    <w:p w14:paraId="6285BB7C" w14:textId="77777777" w:rsidR="00E21CD5" w:rsidRPr="005C0777" w:rsidRDefault="00E21CD5" w:rsidP="00E21CD5">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5312A3"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14:paraId="6BFEEDF9" w14:textId="1DEDC93D"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Към да</w:t>
      </w:r>
      <w:r w:rsidR="00BD33B2">
        <w:rPr>
          <w:rStyle w:val="None"/>
          <w:rFonts w:ascii="Arial" w:hAnsi="Arial"/>
          <w:sz w:val="22"/>
          <w:szCs w:val="22"/>
        </w:rPr>
        <w:t>тата на Финансовия отчет – 30</w:t>
      </w:r>
      <w:r w:rsidR="00A10F55" w:rsidRPr="005C0777">
        <w:rPr>
          <w:rStyle w:val="None"/>
          <w:rFonts w:ascii="Arial" w:hAnsi="Arial"/>
          <w:sz w:val="22"/>
          <w:szCs w:val="22"/>
        </w:rPr>
        <w:t>.</w:t>
      </w:r>
      <w:r w:rsidR="00762834">
        <w:rPr>
          <w:rStyle w:val="None"/>
          <w:rFonts w:ascii="Arial" w:hAnsi="Arial"/>
          <w:sz w:val="22"/>
          <w:szCs w:val="22"/>
          <w:lang w:val="bg-BG"/>
        </w:rPr>
        <w:t>0</w:t>
      </w:r>
      <w:r w:rsidR="00BD33B2">
        <w:rPr>
          <w:rStyle w:val="None"/>
          <w:rFonts w:ascii="Arial" w:hAnsi="Arial"/>
          <w:sz w:val="22"/>
          <w:szCs w:val="22"/>
          <w:lang w:val="bg-BG"/>
        </w:rPr>
        <w:t>6</w:t>
      </w:r>
      <w:r w:rsidRPr="005C0777">
        <w:rPr>
          <w:rStyle w:val="None"/>
          <w:rFonts w:ascii="Arial" w:hAnsi="Arial"/>
          <w:sz w:val="22"/>
          <w:szCs w:val="22"/>
        </w:rPr>
        <w:t>.202</w:t>
      </w:r>
      <w:r w:rsidR="00F17943">
        <w:rPr>
          <w:rStyle w:val="None"/>
          <w:rFonts w:ascii="Arial" w:hAnsi="Arial"/>
          <w:sz w:val="22"/>
          <w:szCs w:val="22"/>
        </w:rPr>
        <w:t>3</w:t>
      </w:r>
      <w:r w:rsidRPr="005C0777">
        <w:rPr>
          <w:rStyle w:val="None"/>
          <w:rFonts w:ascii="Arial" w:hAnsi="Arial"/>
          <w:sz w:val="22"/>
          <w:szCs w:val="22"/>
        </w:rPr>
        <w:t xml:space="preserve"> г.</w:t>
      </w:r>
      <w:r w:rsidR="00EC1550" w:rsidRPr="005C0777">
        <w:rPr>
          <w:rStyle w:val="None"/>
          <w:rFonts w:ascii="Arial" w:hAnsi="Arial"/>
          <w:sz w:val="22"/>
          <w:szCs w:val="22"/>
          <w:lang w:val="bg-BG"/>
        </w:rPr>
        <w:t>,</w:t>
      </w:r>
      <w:r w:rsidRPr="005C0777">
        <w:rPr>
          <w:rStyle w:val="None"/>
          <w:rFonts w:ascii="Arial" w:hAnsi="Arial"/>
          <w:sz w:val="22"/>
          <w:szCs w:val="22"/>
        </w:rPr>
        <w:t xml:space="preserve"> ХД </w:t>
      </w:r>
      <w:r w:rsidRPr="005C0777">
        <w:rPr>
          <w:rStyle w:val="None"/>
          <w:rFonts w:ascii="Arial" w:hAnsi="Arial"/>
          <w:b/>
          <w:bCs/>
          <w:sz w:val="22"/>
          <w:szCs w:val="22"/>
        </w:rPr>
        <w:t>„</w:t>
      </w:r>
      <w:r w:rsidRPr="005C0777">
        <w:rPr>
          <w:rStyle w:val="None"/>
          <w:rFonts w:ascii="Arial" w:hAnsi="Arial"/>
          <w:sz w:val="22"/>
          <w:szCs w:val="22"/>
        </w:rPr>
        <w:t>ДУНАВ” АД няма задължения към дружествата си.</w:t>
      </w:r>
    </w:p>
    <w:p w14:paraId="2DFC65EA"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 xml:space="preserve">1.7. Покупка, продажба или учреден залог на дялови участия в търговски дружества от емитента или негово дъщерно дружество.  </w:t>
      </w:r>
    </w:p>
    <w:p w14:paraId="0DD3A10B" w14:textId="3741B34D" w:rsidR="00175799" w:rsidRPr="005C0777" w:rsidRDefault="00264E5E" w:rsidP="00107FA3">
      <w:pPr>
        <w:pStyle w:val="11"/>
        <w:ind w:firstLine="426"/>
        <w:jc w:val="both"/>
        <w:rPr>
          <w:sz w:val="22"/>
          <w:szCs w:val="22"/>
          <w:lang w:val="bg-BG"/>
        </w:rPr>
      </w:pPr>
      <w:r w:rsidRPr="005C0777">
        <w:rPr>
          <w:rStyle w:val="None"/>
          <w:sz w:val="22"/>
          <w:szCs w:val="22"/>
        </w:rPr>
        <w:t xml:space="preserve">- </w:t>
      </w:r>
      <w:r w:rsidR="00175799" w:rsidRPr="005C0777">
        <w:rPr>
          <w:sz w:val="22"/>
          <w:szCs w:val="22"/>
          <w:lang w:val="bg-BG"/>
        </w:rPr>
        <w:t>През първото полугодие на 202</w:t>
      </w:r>
      <w:r w:rsidR="00F17943">
        <w:rPr>
          <w:sz w:val="22"/>
          <w:szCs w:val="22"/>
          <w:lang w:val="bg-BG"/>
        </w:rPr>
        <w:t>3</w:t>
      </w:r>
      <w:r w:rsidR="00175799" w:rsidRPr="005C0777">
        <w:rPr>
          <w:sz w:val="22"/>
          <w:szCs w:val="22"/>
          <w:lang w:val="bg-BG"/>
        </w:rPr>
        <w:t xml:space="preserve"> г. ХД „ДУНАВ“ АД е продал на несвързани лица акциите си от капитала</w:t>
      </w:r>
      <w:r w:rsidR="00387037" w:rsidRPr="005C0777">
        <w:rPr>
          <w:sz w:val="22"/>
          <w:szCs w:val="22"/>
          <w:lang w:val="bg-BG"/>
        </w:rPr>
        <w:t xml:space="preserve"> на асоцииран</w:t>
      </w:r>
      <w:r w:rsidR="00F17943">
        <w:rPr>
          <w:sz w:val="22"/>
          <w:szCs w:val="22"/>
          <w:lang w:val="bg-BG"/>
        </w:rPr>
        <w:t>ото</w:t>
      </w:r>
      <w:r w:rsidR="00387037" w:rsidRPr="005C0777">
        <w:rPr>
          <w:sz w:val="22"/>
          <w:szCs w:val="22"/>
          <w:lang w:val="bg-BG"/>
        </w:rPr>
        <w:t xml:space="preserve"> дружеств</w:t>
      </w:r>
      <w:r w:rsidR="00F17943">
        <w:rPr>
          <w:sz w:val="22"/>
          <w:szCs w:val="22"/>
          <w:lang w:val="bg-BG"/>
        </w:rPr>
        <w:t>о</w:t>
      </w:r>
      <w:r w:rsidR="00387037" w:rsidRPr="005C0777">
        <w:rPr>
          <w:sz w:val="22"/>
          <w:szCs w:val="22"/>
          <w:lang w:val="bg-BG"/>
        </w:rPr>
        <w:t xml:space="preserve"> - „</w:t>
      </w:r>
      <w:r w:rsidR="00F17943">
        <w:rPr>
          <w:sz w:val="22"/>
          <w:szCs w:val="22"/>
          <w:lang w:val="bg-BG"/>
        </w:rPr>
        <w:t>ТЕЛБ ИНВЕСТ“ АД</w:t>
      </w:r>
      <w:r w:rsidR="00175799" w:rsidRPr="005C0777">
        <w:rPr>
          <w:sz w:val="22"/>
          <w:szCs w:val="22"/>
          <w:lang w:val="bg-BG"/>
        </w:rPr>
        <w:t>.</w:t>
      </w:r>
    </w:p>
    <w:p w14:paraId="0AD5E7DC" w14:textId="0589C03D" w:rsidR="00175799" w:rsidRPr="005C0777" w:rsidRDefault="00151143" w:rsidP="00151143">
      <w:pPr>
        <w:pStyle w:val="11"/>
        <w:ind w:firstLine="426"/>
        <w:jc w:val="both"/>
        <w:rPr>
          <w:sz w:val="22"/>
          <w:szCs w:val="22"/>
          <w:lang w:val="bg-BG"/>
        </w:rPr>
      </w:pPr>
      <w:r w:rsidRPr="005C0777">
        <w:rPr>
          <w:sz w:val="22"/>
          <w:szCs w:val="22"/>
        </w:rPr>
        <w:t xml:space="preserve">- </w:t>
      </w:r>
      <w:r w:rsidR="00175799" w:rsidRPr="005C0777">
        <w:rPr>
          <w:sz w:val="22"/>
          <w:szCs w:val="22"/>
          <w:lang w:val="bg-BG"/>
        </w:rPr>
        <w:t>За сделките ХД „ДУНАВ“ АД надлежно и своевременно е уведомил Комисията за финансов надзор, Българската фондова борса и Обществеността.</w:t>
      </w:r>
    </w:p>
    <w:p w14:paraId="6A27A882" w14:textId="3E960C48" w:rsidR="00D83B98" w:rsidRPr="005C0777" w:rsidRDefault="003D6829" w:rsidP="003D6829">
      <w:pPr>
        <w:pStyle w:val="10"/>
        <w:jc w:val="both"/>
        <w:rPr>
          <w:rStyle w:val="None"/>
          <w:rFonts w:ascii="Arial" w:eastAsia="Arial" w:hAnsi="Arial" w:cs="Arial"/>
          <w:sz w:val="22"/>
          <w:szCs w:val="22"/>
        </w:rPr>
      </w:pPr>
      <w:r>
        <w:rPr>
          <w:rStyle w:val="None"/>
          <w:rFonts w:ascii="Arial" w:hAnsi="Arial"/>
          <w:sz w:val="22"/>
          <w:szCs w:val="22"/>
          <w:lang w:val="bg-BG"/>
        </w:rPr>
        <w:t>1.</w:t>
      </w:r>
      <w:r w:rsidR="00264E5E" w:rsidRPr="005C0777">
        <w:rPr>
          <w:rStyle w:val="None"/>
          <w:rFonts w:ascii="Arial" w:hAnsi="Arial"/>
          <w:sz w:val="22"/>
          <w:szCs w:val="22"/>
        </w:rPr>
        <w:t>8.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14:paraId="0E7864F0"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Нямаме приходи от лихви върху депозити за отчетния период.</w:t>
      </w:r>
    </w:p>
    <w:p w14:paraId="3BC4F945" w14:textId="692E928B" w:rsidR="00D83B98" w:rsidRDefault="00D83B98">
      <w:pPr>
        <w:pStyle w:val="10"/>
        <w:tabs>
          <w:tab w:val="left" w:pos="4140"/>
        </w:tabs>
        <w:ind w:firstLine="540"/>
        <w:jc w:val="both"/>
        <w:outlineLvl w:val="0"/>
        <w:rPr>
          <w:rStyle w:val="None"/>
          <w:rFonts w:ascii="Arial" w:eastAsia="Arial" w:hAnsi="Arial" w:cs="Arial"/>
          <w:sz w:val="22"/>
          <w:szCs w:val="22"/>
        </w:rPr>
      </w:pPr>
    </w:p>
    <w:p w14:paraId="38FC85E4" w14:textId="77777777" w:rsidR="006E3397" w:rsidRDefault="00264E5E">
      <w:pPr>
        <w:pStyle w:val="10"/>
        <w:tabs>
          <w:tab w:val="left" w:pos="4140"/>
        </w:tabs>
        <w:ind w:firstLine="540"/>
        <w:jc w:val="both"/>
        <w:outlineLvl w:val="0"/>
        <w:rPr>
          <w:rStyle w:val="None"/>
          <w:rFonts w:ascii="Arial" w:eastAsia="Arial" w:hAnsi="Arial" w:cs="Arial"/>
          <w:sz w:val="22"/>
          <w:szCs w:val="22"/>
        </w:rPr>
      </w:pPr>
      <w:bookmarkStart w:id="0" w:name="_GoBack"/>
      <w:bookmarkEnd w:id="0"/>
      <w:r w:rsidRPr="005C0777">
        <w:rPr>
          <w:rStyle w:val="None"/>
          <w:rFonts w:ascii="Arial" w:eastAsia="Arial" w:hAnsi="Arial" w:cs="Arial"/>
          <w:sz w:val="22"/>
          <w:szCs w:val="22"/>
        </w:rPr>
        <w:tab/>
      </w:r>
    </w:p>
    <w:p w14:paraId="482DC0F4" w14:textId="68E0D3F6" w:rsidR="00175799" w:rsidRPr="00BD33B2" w:rsidRDefault="006E3397">
      <w:pPr>
        <w:pStyle w:val="10"/>
        <w:tabs>
          <w:tab w:val="left" w:pos="4140"/>
        </w:tabs>
        <w:ind w:firstLine="540"/>
        <w:jc w:val="both"/>
        <w:outlineLvl w:val="0"/>
        <w:rPr>
          <w:rStyle w:val="None"/>
          <w:rFonts w:ascii="Arial" w:hAnsi="Arial"/>
          <w:sz w:val="22"/>
          <w:szCs w:val="22"/>
        </w:rPr>
      </w:pPr>
      <w:r>
        <w:rPr>
          <w:rStyle w:val="None"/>
          <w:rFonts w:ascii="Arial" w:eastAsia="Arial" w:hAnsi="Arial" w:cs="Arial"/>
          <w:sz w:val="22"/>
          <w:szCs w:val="22"/>
        </w:rPr>
        <w:tab/>
      </w:r>
      <w:r w:rsidR="00264E5E" w:rsidRPr="00BD33B2">
        <w:rPr>
          <w:rStyle w:val="None"/>
          <w:rFonts w:ascii="Arial" w:eastAsia="Arial" w:hAnsi="Arial" w:cs="Arial"/>
          <w:sz w:val="22"/>
          <w:szCs w:val="22"/>
        </w:rPr>
        <w:t>С УВАЖЕНИЕ</w:t>
      </w:r>
      <w:r w:rsidR="00264E5E" w:rsidRPr="00BD33B2">
        <w:rPr>
          <w:rStyle w:val="None"/>
          <w:rFonts w:ascii="Arial" w:hAnsi="Arial"/>
          <w:sz w:val="22"/>
          <w:szCs w:val="22"/>
        </w:rPr>
        <w:t>:</w:t>
      </w:r>
    </w:p>
    <w:p w14:paraId="3CBAC131" w14:textId="46B5B707" w:rsidR="00D83B98" w:rsidRPr="00BD33B2" w:rsidRDefault="003C5AD4">
      <w:pPr>
        <w:pStyle w:val="10"/>
        <w:tabs>
          <w:tab w:val="left" w:pos="4140"/>
        </w:tabs>
        <w:ind w:firstLine="540"/>
        <w:jc w:val="both"/>
        <w:outlineLvl w:val="0"/>
        <w:rPr>
          <w:rStyle w:val="None"/>
          <w:rFonts w:ascii="Arial" w:eastAsia="Arial" w:hAnsi="Arial" w:cs="Arial"/>
          <w:sz w:val="22"/>
          <w:szCs w:val="22"/>
        </w:rPr>
      </w:pPr>
      <w:r w:rsidRPr="00BD33B2">
        <w:rPr>
          <w:rStyle w:val="None"/>
          <w:rFonts w:ascii="Arial" w:eastAsia="Arial" w:hAnsi="Arial" w:cs="Arial"/>
          <w:sz w:val="22"/>
          <w:szCs w:val="22"/>
        </w:rPr>
        <w:tab/>
      </w:r>
      <w:r w:rsidR="00264E5E" w:rsidRPr="00BD33B2">
        <w:rPr>
          <w:rStyle w:val="None"/>
          <w:rFonts w:ascii="Arial" w:eastAsia="Arial" w:hAnsi="Arial" w:cs="Arial"/>
          <w:sz w:val="22"/>
          <w:szCs w:val="22"/>
        </w:rPr>
        <w:t>Изп</w:t>
      </w:r>
      <w:r w:rsidR="00264E5E" w:rsidRPr="00BD33B2">
        <w:rPr>
          <w:rStyle w:val="None"/>
          <w:rFonts w:ascii="Arial" w:hAnsi="Arial"/>
          <w:sz w:val="22"/>
          <w:szCs w:val="22"/>
        </w:rPr>
        <w:t>. директор: ...................................</w:t>
      </w:r>
    </w:p>
    <w:p w14:paraId="21415B03" w14:textId="77777777" w:rsidR="00E01905" w:rsidRPr="00BD33B2" w:rsidRDefault="00E01905">
      <w:pPr>
        <w:pStyle w:val="10"/>
        <w:tabs>
          <w:tab w:val="left" w:pos="4140"/>
        </w:tabs>
        <w:ind w:firstLine="540"/>
        <w:jc w:val="both"/>
        <w:outlineLvl w:val="0"/>
        <w:rPr>
          <w:rStyle w:val="None"/>
          <w:rFonts w:ascii="Arial" w:eastAsia="Arial" w:hAnsi="Arial" w:cs="Arial"/>
          <w:sz w:val="22"/>
          <w:szCs w:val="22"/>
        </w:rPr>
      </w:pPr>
    </w:p>
    <w:p w14:paraId="63925408" w14:textId="5323D8CF" w:rsidR="00D83B98" w:rsidRPr="00BD33B2" w:rsidRDefault="00264E5E">
      <w:pPr>
        <w:pStyle w:val="10"/>
        <w:tabs>
          <w:tab w:val="left" w:pos="4140"/>
        </w:tabs>
        <w:ind w:firstLine="540"/>
        <w:jc w:val="both"/>
        <w:outlineLvl w:val="0"/>
        <w:rPr>
          <w:sz w:val="22"/>
          <w:szCs w:val="22"/>
        </w:rPr>
      </w:pP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00E01905" w:rsidRPr="00BD33B2">
        <w:rPr>
          <w:rStyle w:val="None"/>
          <w:rFonts w:ascii="Arial" w:eastAsia="Arial" w:hAnsi="Arial" w:cs="Arial"/>
          <w:sz w:val="22"/>
          <w:szCs w:val="22"/>
        </w:rPr>
        <w:tab/>
        <w:t xml:space="preserve">      </w:t>
      </w:r>
      <w:r w:rsidRPr="00BD33B2">
        <w:rPr>
          <w:rStyle w:val="None"/>
          <w:rFonts w:ascii="Arial" w:eastAsia="Arial" w:hAnsi="Arial" w:cs="Arial"/>
          <w:sz w:val="22"/>
          <w:szCs w:val="22"/>
        </w:rPr>
        <w:t>/</w:t>
      </w:r>
      <w:r w:rsidRPr="00BD33B2">
        <w:rPr>
          <w:rStyle w:val="None"/>
          <w:rFonts w:ascii="Arial" w:hAnsi="Arial"/>
          <w:sz w:val="22"/>
          <w:szCs w:val="22"/>
        </w:rPr>
        <w:t>Стефан Лазаров/</w:t>
      </w:r>
    </w:p>
    <w:sectPr w:rsidR="00D83B98" w:rsidRPr="00BD33B2" w:rsidSect="001F54ED">
      <w:footerReference w:type="default" r:id="rId8"/>
      <w:pgSz w:w="11900" w:h="16840"/>
      <w:pgMar w:top="709" w:right="926" w:bottom="568" w:left="1440" w:header="709" w:footer="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27B1A" w14:textId="77777777" w:rsidR="00D46C73" w:rsidRDefault="00D46C73">
      <w:r>
        <w:separator/>
      </w:r>
    </w:p>
  </w:endnote>
  <w:endnote w:type="continuationSeparator" w:id="0">
    <w:p w14:paraId="1544C05C" w14:textId="77777777" w:rsidR="00D46C73" w:rsidRDefault="00D4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2CFB" w14:textId="0F2A54D8" w:rsidR="00D83B98" w:rsidRDefault="00264E5E">
    <w:pPr>
      <w:pStyle w:val="1"/>
      <w:jc w:val="right"/>
    </w:pPr>
    <w:r>
      <w:fldChar w:fldCharType="begin"/>
    </w:r>
    <w:r>
      <w:instrText xml:space="preserve"> PAGE </w:instrText>
    </w:r>
    <w:r>
      <w:fldChar w:fldCharType="separate"/>
    </w:r>
    <w:r w:rsidR="00FF224D">
      <w:rPr>
        <w:noProof/>
      </w:rPr>
      <w:t>1</w:t>
    </w:r>
    <w:r>
      <w:fldChar w:fldCharType="end"/>
    </w:r>
  </w:p>
  <w:p w14:paraId="5B1B806F" w14:textId="5A167F43" w:rsidR="00D83B98" w:rsidRDefault="00264E5E">
    <w:pPr>
      <w:pStyle w:val="1"/>
      <w:tabs>
        <w:tab w:val="clear" w:pos="4536"/>
        <w:tab w:val="clear" w:pos="9072"/>
        <w:tab w:val="center" w:pos="2084"/>
        <w:tab w:val="right" w:pos="2314"/>
      </w:tabs>
      <w:ind w:right="360"/>
      <w:jc w:val="center"/>
      <w:rPr>
        <w:rStyle w:val="None"/>
        <w:rFonts w:ascii="Arial" w:eastAsia="Arial" w:hAnsi="Arial" w:cs="Arial"/>
        <w:sz w:val="18"/>
        <w:szCs w:val="18"/>
      </w:rPr>
    </w:pPr>
    <w:r>
      <w:rPr>
        <w:rFonts w:ascii="Arial" w:hAnsi="Arial"/>
        <w:sz w:val="18"/>
        <w:szCs w:val="18"/>
      </w:rPr>
      <w:t xml:space="preserve">3000 </w:t>
    </w:r>
    <w:proofErr w:type="spellStart"/>
    <w:r>
      <w:rPr>
        <w:rFonts w:ascii="Arial" w:hAnsi="Arial"/>
        <w:sz w:val="18"/>
        <w:szCs w:val="18"/>
      </w:rPr>
      <w:t>Враца</w:t>
    </w:r>
    <w:proofErr w:type="spellEnd"/>
    <w:r>
      <w:rPr>
        <w:rFonts w:ascii="Arial" w:hAnsi="Arial"/>
        <w:sz w:val="18"/>
        <w:szCs w:val="18"/>
      </w:rPr>
      <w:t xml:space="preserve">, </w:t>
    </w:r>
    <w:proofErr w:type="spellStart"/>
    <w:r>
      <w:rPr>
        <w:rFonts w:ascii="Arial" w:hAnsi="Arial"/>
        <w:sz w:val="18"/>
        <w:szCs w:val="18"/>
      </w:rPr>
      <w:t>ул</w:t>
    </w:r>
    <w:proofErr w:type="spellEnd"/>
    <w:r>
      <w:rPr>
        <w:rFonts w:ascii="Arial" w:hAnsi="Arial"/>
        <w:sz w:val="18"/>
        <w:szCs w:val="18"/>
      </w:rPr>
      <w:t>.”</w:t>
    </w:r>
    <w:proofErr w:type="spellStart"/>
    <w:r>
      <w:rPr>
        <w:rFonts w:ascii="Arial" w:hAnsi="Arial"/>
        <w:sz w:val="18"/>
        <w:szCs w:val="18"/>
      </w:rPr>
      <w:t>Стоян</w:t>
    </w:r>
    <w:proofErr w:type="spellEnd"/>
    <w:r>
      <w:rPr>
        <w:rFonts w:ascii="Arial" w:hAnsi="Arial"/>
        <w:sz w:val="18"/>
        <w:szCs w:val="18"/>
      </w:rPr>
      <w:t xml:space="preserve"> </w:t>
    </w:r>
    <w:proofErr w:type="spellStart"/>
    <w:r>
      <w:rPr>
        <w:rFonts w:ascii="Arial" w:hAnsi="Arial"/>
        <w:sz w:val="18"/>
        <w:szCs w:val="18"/>
      </w:rPr>
      <w:t>Кялъчев</w:t>
    </w:r>
    <w:proofErr w:type="spellEnd"/>
    <w:r>
      <w:rPr>
        <w:rFonts w:ascii="Arial" w:hAnsi="Arial"/>
        <w:sz w:val="18"/>
        <w:szCs w:val="18"/>
      </w:rPr>
      <w:t>” №6, пк.31,</w:t>
    </w:r>
    <w:r w:rsidR="00762834">
      <w:rPr>
        <w:rFonts w:ascii="Arial" w:hAnsi="Arial"/>
        <w:sz w:val="18"/>
        <w:szCs w:val="18"/>
        <w:lang w:val="bg-BG"/>
      </w:rPr>
      <w:t xml:space="preserve">мобилен </w:t>
    </w:r>
    <w:proofErr w:type="spellStart"/>
    <w:r>
      <w:rPr>
        <w:rFonts w:ascii="Arial" w:hAnsi="Arial"/>
        <w:sz w:val="18"/>
        <w:szCs w:val="18"/>
      </w:rPr>
      <w:t>тел</w:t>
    </w:r>
    <w:proofErr w:type="spellEnd"/>
    <w:r>
      <w:rPr>
        <w:rFonts w:ascii="Arial" w:hAnsi="Arial"/>
        <w:sz w:val="18"/>
        <w:szCs w:val="18"/>
      </w:rPr>
      <w:t>:</w:t>
    </w:r>
    <w:r w:rsidR="00762834">
      <w:rPr>
        <w:rFonts w:ascii="Arial" w:hAnsi="Arial"/>
        <w:sz w:val="18"/>
        <w:szCs w:val="18"/>
        <w:lang w:val="bg-BG"/>
      </w:rPr>
      <w:t>+35</w:t>
    </w:r>
    <w:r>
      <w:rPr>
        <w:rFonts w:ascii="Arial" w:hAnsi="Arial"/>
        <w:sz w:val="18"/>
        <w:szCs w:val="18"/>
      </w:rPr>
      <w:t>9</w:t>
    </w:r>
    <w:r w:rsidR="00762834">
      <w:rPr>
        <w:rFonts w:ascii="Arial" w:hAnsi="Arial"/>
        <w:sz w:val="18"/>
        <w:szCs w:val="18"/>
        <w:lang w:val="bg-BG"/>
      </w:rPr>
      <w:t> 877 08 84 58</w:t>
    </w:r>
    <w:r>
      <w:rPr>
        <w:rFonts w:ascii="Arial" w:hAnsi="Arial"/>
        <w:sz w:val="18"/>
        <w:szCs w:val="18"/>
      </w:rPr>
      <w:t xml:space="preserve">,e-mail: </w:t>
    </w:r>
    <w:hyperlink r:id="rId1" w:history="1">
      <w:r>
        <w:rPr>
          <w:rStyle w:val="Hyperlink0"/>
        </w:rPr>
        <w:t>dunav_vraca@abv.bg</w:t>
      </w:r>
    </w:hyperlink>
  </w:p>
  <w:p w14:paraId="491B07B4" w14:textId="77777777" w:rsidR="00D83B98" w:rsidRDefault="00264E5E">
    <w:pPr>
      <w:pStyle w:val="1"/>
      <w:tabs>
        <w:tab w:val="clear" w:pos="4536"/>
        <w:tab w:val="clear" w:pos="9072"/>
        <w:tab w:val="center" w:pos="2084"/>
        <w:tab w:val="right" w:pos="2314"/>
      </w:tabs>
      <w:ind w:right="360"/>
      <w:jc w:val="center"/>
    </w:pPr>
    <w:r>
      <w:rPr>
        <w:rStyle w:val="None"/>
        <w:rFonts w:ascii="Arial" w:hAnsi="Arial"/>
        <w:sz w:val="18"/>
        <w:szCs w:val="18"/>
      </w:rPr>
      <w:t>www.holding-dunav.com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B2C10" w14:textId="77777777" w:rsidR="00D46C73" w:rsidRDefault="00D46C73">
      <w:r>
        <w:separator/>
      </w:r>
    </w:p>
  </w:footnote>
  <w:footnote w:type="continuationSeparator" w:id="0">
    <w:p w14:paraId="19BF6049" w14:textId="77777777" w:rsidR="00D46C73" w:rsidRDefault="00D4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8"/>
    <w:rsid w:val="00046AF2"/>
    <w:rsid w:val="00107FA3"/>
    <w:rsid w:val="00120F35"/>
    <w:rsid w:val="00151143"/>
    <w:rsid w:val="00175799"/>
    <w:rsid w:val="001F54ED"/>
    <w:rsid w:val="00264E5E"/>
    <w:rsid w:val="00387037"/>
    <w:rsid w:val="003C5AD4"/>
    <w:rsid w:val="003D6829"/>
    <w:rsid w:val="003F53E0"/>
    <w:rsid w:val="003F7392"/>
    <w:rsid w:val="00521418"/>
    <w:rsid w:val="005810FC"/>
    <w:rsid w:val="0059790E"/>
    <w:rsid w:val="005C0777"/>
    <w:rsid w:val="005F65E7"/>
    <w:rsid w:val="00644601"/>
    <w:rsid w:val="006B25AB"/>
    <w:rsid w:val="006E3397"/>
    <w:rsid w:val="00762834"/>
    <w:rsid w:val="007E0B9E"/>
    <w:rsid w:val="00925B60"/>
    <w:rsid w:val="00976AF8"/>
    <w:rsid w:val="009A020D"/>
    <w:rsid w:val="00A04230"/>
    <w:rsid w:val="00A10F55"/>
    <w:rsid w:val="00A411AC"/>
    <w:rsid w:val="00AE6BA6"/>
    <w:rsid w:val="00B90DD3"/>
    <w:rsid w:val="00BC5281"/>
    <w:rsid w:val="00BD33B2"/>
    <w:rsid w:val="00C66C86"/>
    <w:rsid w:val="00D46C73"/>
    <w:rsid w:val="00D83B98"/>
    <w:rsid w:val="00E01905"/>
    <w:rsid w:val="00E21CD5"/>
    <w:rsid w:val="00E45A19"/>
    <w:rsid w:val="00E65735"/>
    <w:rsid w:val="00EC1550"/>
    <w:rsid w:val="00F17943"/>
    <w:rsid w:val="00FF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797E"/>
  <w15:docId w15:val="{2D148923-2045-4E5E-A333-311C753A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Долен колонтитул1"/>
    <w:pPr>
      <w:tabs>
        <w:tab w:val="center" w:pos="4536"/>
        <w:tab w:val="right" w:pos="9072"/>
      </w:tabs>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none" w:color="0000FF"/>
      <w:lang w:val="en-US"/>
    </w:rPr>
  </w:style>
  <w:style w:type="paragraph" w:customStyle="1" w:styleId="10">
    <w:name w:val="Нормален1"/>
    <w:rPr>
      <w:rFonts w:eastAsia="Times New Roman"/>
      <w:color w:val="000000"/>
      <w:sz w:val="24"/>
      <w:szCs w:val="24"/>
      <w:u w:color="000000"/>
      <w:lang w:val="en-US"/>
    </w:rPr>
  </w:style>
  <w:style w:type="paragraph" w:styleId="a4">
    <w:name w:val="caption"/>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paragraph" w:customStyle="1" w:styleId="11">
    <w:name w:val="Основен текст с отстъп1"/>
    <w:rsid w:val="00175799"/>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ascii="Arial" w:hAnsi="Arial" w:cs="Arial Unicode MS"/>
      <w:color w:val="000000"/>
      <w:sz w:val="28"/>
      <w:szCs w:val="28"/>
      <w:u w:color="000000"/>
      <w:bdr w:val="none" w:sz="0" w:space="0" w:color="auto"/>
    </w:rPr>
  </w:style>
  <w:style w:type="paragraph" w:styleId="a5">
    <w:name w:val="header"/>
    <w:basedOn w:val="a"/>
    <w:link w:val="a6"/>
    <w:uiPriority w:val="99"/>
    <w:unhideWhenUsed/>
    <w:rsid w:val="00175799"/>
    <w:pPr>
      <w:tabs>
        <w:tab w:val="center" w:pos="4536"/>
        <w:tab w:val="right" w:pos="9072"/>
      </w:tabs>
    </w:pPr>
  </w:style>
  <w:style w:type="character" w:customStyle="1" w:styleId="a6">
    <w:name w:val="Горен колонтитул Знак"/>
    <w:basedOn w:val="a0"/>
    <w:link w:val="a5"/>
    <w:uiPriority w:val="99"/>
    <w:rsid w:val="00175799"/>
    <w:rPr>
      <w:sz w:val="24"/>
      <w:szCs w:val="24"/>
      <w:lang w:val="en-US" w:eastAsia="en-US"/>
    </w:rPr>
  </w:style>
  <w:style w:type="paragraph" w:styleId="a7">
    <w:name w:val="footer"/>
    <w:basedOn w:val="a"/>
    <w:link w:val="a8"/>
    <w:uiPriority w:val="99"/>
    <w:unhideWhenUsed/>
    <w:rsid w:val="00175799"/>
    <w:pPr>
      <w:tabs>
        <w:tab w:val="center" w:pos="4536"/>
        <w:tab w:val="right" w:pos="9072"/>
      </w:tabs>
    </w:pPr>
  </w:style>
  <w:style w:type="character" w:customStyle="1" w:styleId="a8">
    <w:name w:val="Долен колонтитул Знак"/>
    <w:basedOn w:val="a0"/>
    <w:link w:val="a7"/>
    <w:uiPriority w:val="99"/>
    <w:rsid w:val="001757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unav_vraca@abv.b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vSqI2OBD7zfzyW/wr0nUj9Mvrm6h6EIjNRlrQIkWk1M=</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Ahdwnu986WWU4Rt3PFl6GUXAk1cWllL6kQ3MNSdxE8s=</DigestValue>
    </Reference>
  </SignedInfo>
  <SignatureValue>TF87fp5pmKKcaQ6hdftf5PfaApldfI2DXSDAw2SV3J8FCipi1/iWs0iL8mzK//xoyrIGXeMvazuC
QWqAdeOJz1djerCLCRxPg46xD089+O1nnoEagVLO+oAlKX2t/7JVEIhKoiVexwwvAOrJR04DDAkM
E1uJh41i5vI/+5tLNO5isFzdcU4Sc2UdRA84WUUNhPcjLlnU7qO+ED6u3mwNNMP9mjpYoBSJE9NQ
/wzhZA9btewBbQPOnIOEzoLFO70mJPZJ3kQhqj+We9FoZfd/iEmgGsxZmm2xQXk3EDPsh6NaVYx7
zQqDKPIJi8Dw6VYx9okKYyON1fupjD4hSarNVg==</SignatureValue>
  <KeyInfo>
    <X509Data>
      <X509Certificate>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rP3fC5MBTlSxysiH3hTMLMxI/WEpPEuSK0moQzXWNjf71qYAazmfqCYuQLUQPRWj9i56Cw0k382j5BkLK6CyeFIw9SLrHBQ0MvJ1ofqJSM+3APF9VUw4dDYu3ryGzi1VBpXcxkHiRJYSQZULQZE9h1eb63h3txFDp28GE7RoWunTrF2wy38RKBKIu7xhbTllgPer0HaLzX/HLKEeF4EOU9tsDZWk7o7ILQwjS2TjfDDlsjX/+DmNOOokR+tiSUs6uUJkwsJb88UnKAgHMJL2qIxn/XX5lkEK1YGbOiKNUSwxOxNjenpV7/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JazhAjtXsWqnMCn5opuoSc8MJ9mQGbXBXiotagI10D4=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PI9rn4iJwegK8wgfsfu0giKWK4PFSVQGA0ZFhgYBS4k=</DigestValue>
      </Reference>
      <Reference URI="/word/document.xml?ContentType=application/vnd.openxmlformats-officedocument.wordprocessingml.document.main+xml">
        <DigestMethod Algorithm="http://www.w3.org/2001/04/xmlenc#sha256"/>
        <DigestValue>Ty+zwukXgm/GCLV5Q//syNj10JWPIZaq7GVU55rWFCs=</DigestValue>
      </Reference>
      <Reference URI="/word/endnotes.xml?ContentType=application/vnd.openxmlformats-officedocument.wordprocessingml.endnotes+xml">
        <DigestMethod Algorithm="http://www.w3.org/2001/04/xmlenc#sha256"/>
        <DigestValue>BVUasn9NOSgrO1IzmWgEmsBkB80AFaqipC+RHzcq9XI=</DigestValue>
      </Reference>
      <Reference URI="/word/fontTable.xml?ContentType=application/vnd.openxmlformats-officedocument.wordprocessingml.fontTable+xml">
        <DigestMethod Algorithm="http://www.w3.org/2001/04/xmlenc#sha256"/>
        <DigestValue>G+XzlOImapCXlEZsRUgqbJfGSmPU0v/Z018LLfdshy4=</DigestValue>
      </Reference>
      <Reference URI="/word/footer1.xml?ContentType=application/vnd.openxmlformats-officedocument.wordprocessingml.footer+xml">
        <DigestMethod Algorithm="http://www.w3.org/2001/04/xmlenc#sha256"/>
        <DigestValue>sfHujbMqdvF+klCrhH2lWTWGKcUPjA3qnBNgYmZJ+RA=</DigestValue>
      </Reference>
      <Reference URI="/word/footnotes.xml?ContentType=application/vnd.openxmlformats-officedocument.wordprocessingml.footnotes+xml">
        <DigestMethod Algorithm="http://www.w3.org/2001/04/xmlenc#sha256"/>
        <DigestValue>XwiawC3vnnap6WeugggukY3Ud/TC+XolMMvNXWbjqj0=</DigestValue>
      </Reference>
      <Reference URI="/word/media/image1.png?ContentType=image/png">
        <DigestMethod Algorithm="http://www.w3.org/2001/04/xmlenc#sha256"/>
        <DigestValue>aPo++ZOSok5lQy7s2Vqcd4iu3UD3YMEaqjhbhEN9k88=</DigestValue>
      </Reference>
      <Reference URI="/word/settings.xml?ContentType=application/vnd.openxmlformats-officedocument.wordprocessingml.settings+xml">
        <DigestMethod Algorithm="http://www.w3.org/2001/04/xmlenc#sha256"/>
        <DigestValue>b6W2qb56cfyWhqtDYIP2MMLTsa9zde/1cLl2SSDgFQ4=</DigestValue>
      </Reference>
      <Reference URI="/word/styles.xml?ContentType=application/vnd.openxmlformats-officedocument.wordprocessingml.styles+xml">
        <DigestMethod Algorithm="http://www.w3.org/2001/04/xmlenc#sha256"/>
        <DigestValue>DfOOW4opE2wco4o5E4pbGpfqXLHPWJt0ha7bPPdsLRk=</DigestValue>
      </Reference>
      <Reference URI="/word/theme/theme1.xml?ContentType=application/vnd.openxmlformats-officedocument.theme+xml">
        <DigestMethod Algorithm="http://www.w3.org/2001/04/xmlenc#sha256"/>
        <DigestValue>nCSG3dG8oOqR4scbkiofpWf760K51CZ7/wW+gskXEVk=</DigestValue>
      </Reference>
      <Reference URI="/word/webSettings.xml?ContentType=application/vnd.openxmlformats-officedocument.wordprocessingml.webSettings+xml">
        <DigestMethod Algorithm="http://www.w3.org/2001/04/xmlenc#sha256"/>
        <DigestValue>EhXqml86SrGcHdpRZ+ilGU2TTYZZPke+2VPoZfR4K5M=</DigestValue>
      </Reference>
    </Manifest>
    <SignatureProperties>
      <SignatureProperty Id="idSignatureTime" Target="#idPackageSignature">
        <mdssi:SignatureTime xmlns:mdssi="http://schemas.openxmlformats.org/package/2006/digital-signature">
          <mdssi:Format>YYYY-MM-DDThh:mm:ssTZD</mdssi:Format>
          <mdssi:Value>2023-07-31T11:26:41Z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2023-07-31T11:26:41Z</xd:SigningTime>
          <xd:SigningCertificate>
            <xd:Cert>
              <xd:CertDigest>
                <DigestMethod Algorithm="http://www.w3.org/2001/04/xmlenc#sha256"/>
                <DigestValue>avmGEqeuj/0j1q2ycFKNxoZ6Dv3sqosFl2I1wDs4uUE=</DigestValue>
              </xd:CertDigest>
              <xd:IssuerSerial>
                <X509IssuerName>CN=B-Trust Operational Qualified CA, OU=B-Trust, O=BORICA AD, OID.2.5.4.97=NTRBG-201230426, C=BG</X509IssuerName>
                <X509SerialNumber>7246797934931293837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24711-EC3A-49AF-9C39-7CC1B01C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dc:creator>
  <cp:lastModifiedBy>Computer</cp:lastModifiedBy>
  <cp:revision>24</cp:revision>
  <dcterms:created xsi:type="dcterms:W3CDTF">2022-07-28T10:18:00Z</dcterms:created>
  <dcterms:modified xsi:type="dcterms:W3CDTF">2023-07-28T08:12:00Z</dcterms:modified>
</cp:coreProperties>
</file>